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F160C31" w:rsidR="00420A38" w:rsidRPr="007A395D" w:rsidRDefault="00420A38" w:rsidP="000049D8">
      <w:pPr>
        <w:pStyle w:val="Header"/>
        <w:tabs>
          <w:tab w:val="clear" w:pos="9639"/>
          <w:tab w:val="right" w:pos="5954"/>
        </w:tabs>
        <w:spacing w:after="240"/>
        <w:jc w:val="right"/>
        <w:rPr>
          <w:rFonts w:ascii="Calibri" w:hAnsi="Calibri"/>
        </w:rPr>
      </w:pPr>
      <w:bookmarkStart w:id="0" w:name="_Hlk192000452"/>
      <w:bookmarkEnd w:id="0"/>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B95DA0">
        <w:rPr>
          <w:rFonts w:ascii="Calibri" w:hAnsi="Calibri" w:hint="eastAsia"/>
          <w:lang w:eastAsia="ko-KR"/>
        </w:rPr>
        <w:t>ARM2</w:t>
      </w:r>
      <w:r w:rsidR="006A285A">
        <w:rPr>
          <w:rFonts w:ascii="Calibri" w:hAnsi="Calibri" w:hint="eastAsia"/>
          <w:lang w:eastAsia="ko-KR"/>
        </w:rPr>
        <w:t>1</w:t>
      </w:r>
      <w:r w:rsidRPr="007A395D">
        <w:rPr>
          <w:rFonts w:ascii="Calibri" w:hAnsi="Calibri"/>
        </w:rPr>
        <w:t>-</w:t>
      </w:r>
      <w:r w:rsidR="00575AE7">
        <w:rPr>
          <w:rFonts w:ascii="Calibri" w:hAnsi="Calibri"/>
        </w:rPr>
        <w:t>9.1.1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C133E76" w:rsidR="0080294B" w:rsidRPr="007A395D" w:rsidRDefault="00B95DA0"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47228">
        <w:rPr>
          <w:rFonts w:ascii="Calibri" w:hAnsi="Calibri" w:cs="Arial"/>
          <w:b/>
          <w:sz w:val="24"/>
          <w:szCs w:val="24"/>
        </w:rPr>
        <w:t>X</w:t>
      </w:r>
      <w:r w:rsidR="0080294B" w:rsidRPr="007A395D">
        <w:rPr>
          <w:rFonts w:ascii="Calibri" w:hAnsi="Calibri" w:cs="Arial"/>
          <w:sz w:val="24"/>
          <w:szCs w:val="24"/>
        </w:rPr>
        <w:t xml:space="preserve">  Input</w:t>
      </w:r>
    </w:p>
    <w:p w14:paraId="0BC79547" w14:textId="5C4F72D4" w:rsidR="0080294B" w:rsidRPr="00575AE7" w:rsidRDefault="009709DA" w:rsidP="00037DF4">
      <w:pPr>
        <w:pStyle w:val="BodyText"/>
        <w:tabs>
          <w:tab w:val="left" w:pos="1843"/>
        </w:tabs>
        <w:rPr>
          <w:rFonts w:ascii="Calibri" w:hAnsi="Calibri"/>
          <w:lang w:val="sv-SE"/>
        </w:rPr>
      </w:pPr>
      <w:r w:rsidRPr="00575AE7">
        <w:rPr>
          <w:rFonts w:ascii="Calibri" w:hAnsi="Calibri" w:cs="Arial"/>
          <w:b/>
          <w:sz w:val="24"/>
          <w:szCs w:val="24"/>
          <w:lang w:val="sv-SE"/>
        </w:rPr>
        <w:t>□</w:t>
      </w:r>
      <w:r w:rsidR="0080294B" w:rsidRPr="00575AE7">
        <w:rPr>
          <w:rFonts w:ascii="Calibri" w:hAnsi="Calibri" w:cs="Arial"/>
          <w:sz w:val="24"/>
          <w:szCs w:val="24"/>
          <w:lang w:val="sv-SE"/>
        </w:rPr>
        <w:t xml:space="preserve">  </w:t>
      </w:r>
      <w:r w:rsidR="0080294B" w:rsidRPr="00575AE7">
        <w:rPr>
          <w:rFonts w:ascii="Calibri" w:hAnsi="Calibri" w:cs="Arial"/>
          <w:lang w:val="sv-SE"/>
        </w:rPr>
        <w:t>ENAV</w:t>
      </w:r>
      <w:r w:rsidR="0080294B" w:rsidRPr="00575AE7">
        <w:rPr>
          <w:rFonts w:ascii="Calibri" w:hAnsi="Calibri" w:cs="Arial"/>
          <w:b/>
          <w:sz w:val="24"/>
          <w:szCs w:val="24"/>
          <w:lang w:val="sv-SE"/>
        </w:rPr>
        <w:tab/>
      </w:r>
      <w:r w:rsidR="00B95DA0" w:rsidRPr="00575AE7">
        <w:rPr>
          <w:rFonts w:ascii="Calibri" w:hAnsi="Calibri" w:cs="Arial"/>
          <w:b/>
          <w:sz w:val="24"/>
          <w:szCs w:val="24"/>
          <w:lang w:val="sv-SE"/>
        </w:rPr>
        <w:t>□</w:t>
      </w:r>
      <w:r w:rsidR="0080294B" w:rsidRPr="00575AE7">
        <w:rPr>
          <w:rFonts w:ascii="Calibri" w:hAnsi="Calibri" w:cs="Arial"/>
          <w:sz w:val="24"/>
          <w:szCs w:val="24"/>
          <w:lang w:val="sv-SE"/>
        </w:rPr>
        <w:t xml:space="preserve">  </w:t>
      </w:r>
      <w:r w:rsidR="003D2DC1" w:rsidRPr="00575AE7">
        <w:rPr>
          <w:rFonts w:ascii="Calibri" w:hAnsi="Calibri" w:cs="Arial"/>
          <w:lang w:val="sv-SE"/>
        </w:rPr>
        <w:t>VTS</w:t>
      </w:r>
      <w:r w:rsidR="0080294B" w:rsidRPr="00575AE7">
        <w:rPr>
          <w:rFonts w:ascii="Calibri" w:hAnsi="Calibri" w:cs="Arial"/>
          <w:sz w:val="24"/>
          <w:szCs w:val="24"/>
          <w:lang w:val="sv-SE"/>
        </w:rPr>
        <w:tab/>
      </w:r>
      <w:r w:rsidR="0080294B" w:rsidRPr="00575AE7">
        <w:rPr>
          <w:rFonts w:ascii="Calibri" w:hAnsi="Calibri" w:cs="Arial"/>
          <w:sz w:val="24"/>
          <w:szCs w:val="24"/>
          <w:lang w:val="sv-SE"/>
        </w:rPr>
        <w:tab/>
      </w:r>
      <w:r w:rsidR="0080294B" w:rsidRPr="00575AE7">
        <w:rPr>
          <w:rFonts w:ascii="Calibri" w:hAnsi="Calibri" w:cs="Arial"/>
          <w:sz w:val="24"/>
          <w:szCs w:val="24"/>
          <w:lang w:val="sv-SE"/>
        </w:rPr>
        <w:tab/>
      </w:r>
      <w:r w:rsidR="0080294B" w:rsidRPr="00575AE7">
        <w:rPr>
          <w:rFonts w:ascii="Calibri" w:hAnsi="Calibri" w:cs="Arial"/>
          <w:sz w:val="24"/>
          <w:szCs w:val="24"/>
          <w:lang w:val="sv-SE"/>
        </w:rPr>
        <w:tab/>
      </w:r>
      <w:r w:rsidR="0080294B" w:rsidRPr="00575AE7">
        <w:rPr>
          <w:rFonts w:ascii="Calibri" w:hAnsi="Calibri" w:cs="Arial"/>
          <w:sz w:val="24"/>
          <w:szCs w:val="24"/>
          <w:lang w:val="sv-SE"/>
        </w:rPr>
        <w:tab/>
      </w:r>
      <w:r w:rsidR="00037DF4" w:rsidRPr="00575AE7">
        <w:rPr>
          <w:rFonts w:ascii="Calibri" w:hAnsi="Calibri" w:cs="Arial"/>
          <w:sz w:val="24"/>
          <w:szCs w:val="24"/>
          <w:lang w:val="sv-SE"/>
        </w:rPr>
        <w:tab/>
      </w:r>
      <w:r w:rsidR="00037DF4" w:rsidRPr="00575AE7">
        <w:rPr>
          <w:rFonts w:ascii="Calibri" w:hAnsi="Calibri" w:cs="Arial"/>
          <w:sz w:val="24"/>
          <w:szCs w:val="24"/>
          <w:lang w:val="sv-SE"/>
        </w:rPr>
        <w:tab/>
      </w:r>
      <w:r w:rsidR="00200241" w:rsidRPr="00575AE7">
        <w:rPr>
          <w:rFonts w:ascii="Calibri" w:hAnsi="Calibri" w:cs="Arial"/>
          <w:b/>
          <w:sz w:val="24"/>
          <w:szCs w:val="24"/>
          <w:lang w:val="sv-SE"/>
        </w:rPr>
        <w:t>□</w:t>
      </w:r>
      <w:r w:rsidR="0080294B" w:rsidRPr="00575AE7">
        <w:rPr>
          <w:rFonts w:ascii="Calibri" w:hAnsi="Calibri" w:cs="Arial"/>
          <w:sz w:val="24"/>
          <w:szCs w:val="24"/>
          <w:lang w:val="sv-SE"/>
        </w:rPr>
        <w:t xml:space="preserve">  Information</w:t>
      </w:r>
    </w:p>
    <w:p w14:paraId="3E1C02C4" w14:textId="77777777" w:rsidR="0080294B" w:rsidRPr="00575AE7" w:rsidRDefault="0080294B" w:rsidP="00FE5674">
      <w:pPr>
        <w:pStyle w:val="BodyText"/>
        <w:tabs>
          <w:tab w:val="left" w:pos="2835"/>
        </w:tabs>
        <w:rPr>
          <w:rFonts w:ascii="Calibri" w:hAnsi="Calibri"/>
          <w:lang w:val="sv-SE"/>
        </w:rPr>
      </w:pPr>
    </w:p>
    <w:p w14:paraId="4DD25FD9" w14:textId="098F5D7F" w:rsidR="00A446C9" w:rsidRPr="00575AE7" w:rsidRDefault="00A446C9" w:rsidP="00FE5674">
      <w:pPr>
        <w:pStyle w:val="BodyText"/>
        <w:tabs>
          <w:tab w:val="left" w:pos="2835"/>
        </w:tabs>
        <w:rPr>
          <w:rFonts w:ascii="Calibri" w:hAnsi="Calibri"/>
        </w:rPr>
      </w:pPr>
      <w:r w:rsidRPr="00575AE7">
        <w:rPr>
          <w:rFonts w:ascii="Calibri" w:hAnsi="Calibri"/>
        </w:rPr>
        <w:t>Agenda item</w:t>
      </w:r>
      <w:r w:rsidR="00037DF4" w:rsidRPr="00575AE7">
        <w:rPr>
          <w:rFonts w:ascii="Calibri" w:hAnsi="Calibri"/>
        </w:rPr>
        <w:t xml:space="preserve"> </w:t>
      </w:r>
      <w:r w:rsidR="00037DF4" w:rsidRPr="007A395D">
        <w:rPr>
          <w:rStyle w:val="FootnoteReference"/>
          <w:rFonts w:ascii="Calibri" w:hAnsi="Calibri"/>
          <w:sz w:val="22"/>
          <w:vertAlign w:val="superscript"/>
        </w:rPr>
        <w:footnoteReference w:id="3"/>
      </w:r>
      <w:r w:rsidR="001C44A3" w:rsidRPr="00575AE7">
        <w:rPr>
          <w:rFonts w:ascii="Calibri" w:hAnsi="Calibri"/>
        </w:rPr>
        <w:tab/>
      </w:r>
      <w:r w:rsidR="0080294B" w:rsidRPr="00575AE7">
        <w:rPr>
          <w:rFonts w:ascii="Calibri" w:hAnsi="Calibri"/>
        </w:rPr>
        <w:tab/>
      </w:r>
      <w:r w:rsidR="0080294B" w:rsidRPr="00575AE7">
        <w:rPr>
          <w:rFonts w:ascii="Calibri" w:hAnsi="Calibri"/>
        </w:rPr>
        <w:tab/>
      </w:r>
      <w:r w:rsidR="00575AE7" w:rsidRPr="00575AE7">
        <w:rPr>
          <w:rFonts w:ascii="Calibri" w:hAnsi="Calibri"/>
        </w:rPr>
        <w:t>9</w:t>
      </w:r>
      <w:r w:rsidR="00575AE7">
        <w:rPr>
          <w:rFonts w:ascii="Calibri" w:hAnsi="Calibri"/>
        </w:rPr>
        <w:t>.1</w:t>
      </w:r>
    </w:p>
    <w:p w14:paraId="1AB3E246" w14:textId="53F9E38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40D74">
        <w:rPr>
          <w:rFonts w:ascii="Calibri" w:hAnsi="Calibri"/>
        </w:rPr>
        <w:t>Task 1.4.7</w:t>
      </w:r>
    </w:p>
    <w:p w14:paraId="01FC5420" w14:textId="15C71F4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A47228">
        <w:rPr>
          <w:rFonts w:ascii="Calibri" w:eastAsia="Malgun Gothic" w:hAnsi="Calibri" w:hint="eastAsia"/>
          <w:lang w:eastAsia="ko-KR"/>
        </w:rPr>
        <w:t>Namkyun</w:t>
      </w:r>
      <w:proofErr w:type="spellEnd"/>
      <w:r w:rsidR="00A47228">
        <w:rPr>
          <w:rFonts w:ascii="Calibri" w:eastAsia="Malgun Gothic" w:hAnsi="Calibri" w:hint="eastAsia"/>
          <w:lang w:eastAsia="ko-KR"/>
        </w:rPr>
        <w:t xml:space="preserve"> </w:t>
      </w:r>
      <w:proofErr w:type="spellStart"/>
      <w:r w:rsidR="00A47228">
        <w:rPr>
          <w:rFonts w:ascii="Calibri" w:eastAsia="Malgun Gothic" w:hAnsi="Calibri" w:hint="eastAsia"/>
          <w:lang w:eastAsia="ko-KR"/>
        </w:rPr>
        <w:t>Im</w:t>
      </w:r>
      <w:proofErr w:type="spellEnd"/>
      <w:r w:rsidR="00A47228">
        <w:rPr>
          <w:rFonts w:ascii="Calibri" w:eastAsia="Malgun Gothic" w:hAnsi="Calibri" w:hint="eastAsia"/>
          <w:lang w:eastAsia="ko-KR"/>
        </w:rPr>
        <w:t>, Do Hyun Oh/Mokpo National M</w:t>
      </w:r>
      <w:r w:rsidR="00A47228">
        <w:rPr>
          <w:rFonts w:ascii="Calibri" w:eastAsia="Malgun Gothic" w:hAnsi="Calibri"/>
          <w:lang w:eastAsia="ko-KR"/>
        </w:rPr>
        <w:t xml:space="preserve">aritime </w:t>
      </w:r>
      <w:r w:rsidR="00A47228">
        <w:rPr>
          <w:rFonts w:ascii="Calibri" w:eastAsia="Malgun Gothic" w:hAnsi="Calibri" w:hint="eastAsia"/>
          <w:lang w:eastAsia="ko-KR"/>
        </w:rPr>
        <w:t>U</w:t>
      </w:r>
      <w:r w:rsidR="00A47228">
        <w:rPr>
          <w:rFonts w:ascii="Calibri" w:eastAsia="Malgun Gothic" w:hAnsi="Calibri"/>
          <w:lang w:eastAsia="ko-KR"/>
        </w:rPr>
        <w:t>niversity</w:t>
      </w:r>
    </w:p>
    <w:p w14:paraId="60BCC120" w14:textId="77777777" w:rsidR="0080294B" w:rsidRPr="007A395D" w:rsidRDefault="0080294B" w:rsidP="00FE5674">
      <w:pPr>
        <w:pStyle w:val="BodyText"/>
        <w:tabs>
          <w:tab w:val="left" w:pos="2835"/>
        </w:tabs>
        <w:rPr>
          <w:rFonts w:ascii="Calibri" w:hAnsi="Calibri"/>
        </w:rPr>
      </w:pPr>
    </w:p>
    <w:p w14:paraId="4834080C" w14:textId="602D6B70" w:rsidR="00A446C9" w:rsidRPr="00605E43" w:rsidRDefault="00390D09" w:rsidP="00A446C9">
      <w:pPr>
        <w:pStyle w:val="Title"/>
        <w:rPr>
          <w:rFonts w:ascii="Calibri" w:hAnsi="Calibri"/>
          <w:color w:val="0070C0"/>
        </w:rPr>
      </w:pPr>
      <w:bookmarkStart w:id="1" w:name="_Hlk192003668"/>
      <w:r w:rsidRPr="00390D09">
        <w:rPr>
          <w:rFonts w:ascii="Calibri" w:hAnsi="Calibri"/>
          <w:color w:val="0070C0"/>
        </w:rPr>
        <w:t>Proposal for</w:t>
      </w:r>
      <w:r w:rsidR="00C652EE">
        <w:rPr>
          <w:rFonts w:ascii="Calibri" w:hAnsi="Calibri" w:hint="eastAsia"/>
          <w:color w:val="0070C0"/>
          <w:lang w:eastAsia="ko-KR"/>
        </w:rPr>
        <w:t xml:space="preserve"> the In</w:t>
      </w:r>
      <w:r w:rsidR="000B42D0">
        <w:rPr>
          <w:rFonts w:ascii="Calibri" w:hAnsi="Calibri" w:hint="eastAsia"/>
          <w:color w:val="0070C0"/>
          <w:lang w:eastAsia="ko-KR"/>
        </w:rPr>
        <w:t>troduction</w:t>
      </w:r>
      <w:r w:rsidR="00C652EE">
        <w:rPr>
          <w:rFonts w:ascii="Calibri" w:hAnsi="Calibri" w:hint="eastAsia"/>
          <w:color w:val="0070C0"/>
          <w:lang w:eastAsia="ko-KR"/>
        </w:rPr>
        <w:t xml:space="preserve"> of a </w:t>
      </w:r>
      <w:r w:rsidR="006A285A" w:rsidRPr="006A285A">
        <w:rPr>
          <w:rFonts w:ascii="Calibri" w:hAnsi="Calibri" w:hint="eastAsia"/>
          <w:color w:val="0070C0"/>
          <w:lang w:eastAsia="ko-KR"/>
        </w:rPr>
        <w:t>Maritime Hydro-</w:t>
      </w:r>
      <w:proofErr w:type="spellStart"/>
      <w:r w:rsidR="006A285A" w:rsidRPr="006A285A">
        <w:rPr>
          <w:rFonts w:ascii="Calibri" w:hAnsi="Calibri" w:hint="eastAsia"/>
          <w:color w:val="0070C0"/>
          <w:lang w:eastAsia="ko-KR"/>
        </w:rPr>
        <w:t>Meteo</w:t>
      </w:r>
      <w:proofErr w:type="spellEnd"/>
      <w:r w:rsidR="006A285A" w:rsidRPr="006A285A">
        <w:rPr>
          <w:rFonts w:ascii="Calibri" w:hAnsi="Calibri" w:hint="eastAsia"/>
          <w:color w:val="0070C0"/>
          <w:lang w:eastAsia="ko-KR"/>
        </w:rPr>
        <w:t xml:space="preserve"> Fusion Index (MHFI)</w:t>
      </w:r>
      <w:r w:rsidR="006A285A">
        <w:rPr>
          <w:rFonts w:ascii="Calibri" w:hAnsi="Calibri" w:hint="eastAsia"/>
          <w:color w:val="0070C0"/>
          <w:lang w:eastAsia="ko-KR"/>
        </w:rPr>
        <w:t xml:space="preserve"> </w:t>
      </w:r>
      <w:r w:rsidR="00C652EE">
        <w:rPr>
          <w:rFonts w:ascii="Calibri" w:hAnsi="Calibri" w:hint="eastAsia"/>
          <w:color w:val="0070C0"/>
          <w:lang w:eastAsia="ko-KR"/>
        </w:rPr>
        <w:t>into Risk Managem</w:t>
      </w:r>
      <w:r w:rsidR="003959A5">
        <w:rPr>
          <w:rFonts w:ascii="Calibri" w:hAnsi="Calibri" w:hint="eastAsia"/>
          <w:color w:val="0070C0"/>
          <w:lang w:eastAsia="ko-KR"/>
        </w:rPr>
        <w:t>en</w:t>
      </w:r>
      <w:r w:rsidR="00C652EE">
        <w:rPr>
          <w:rFonts w:ascii="Calibri" w:hAnsi="Calibri" w:hint="eastAsia"/>
          <w:color w:val="0070C0"/>
          <w:lang w:eastAsia="ko-KR"/>
        </w:rPr>
        <w:t>t</w:t>
      </w:r>
      <w:r w:rsidR="008945F8">
        <w:rPr>
          <w:rFonts w:ascii="Calibri" w:hAnsi="Calibri" w:hint="eastAsia"/>
          <w:color w:val="0070C0"/>
          <w:lang w:eastAsia="ko-KR"/>
        </w:rPr>
        <w:t xml:space="preserve"> Framework</w:t>
      </w:r>
    </w:p>
    <w:bookmarkEnd w:id="1"/>
    <w:p w14:paraId="0F258596" w14:textId="50FB6E37" w:rsidR="00A446C9" w:rsidRPr="00605E43" w:rsidRDefault="00A446C9" w:rsidP="00605E43">
      <w:pPr>
        <w:pStyle w:val="Heading1"/>
      </w:pPr>
      <w:r w:rsidRPr="00605E43">
        <w:t>Summary</w:t>
      </w:r>
    </w:p>
    <w:p w14:paraId="617333CA" w14:textId="5C5BBACD" w:rsidR="006A285A" w:rsidRPr="00575A60" w:rsidRDefault="006A285A" w:rsidP="006A285A">
      <w:pPr>
        <w:pStyle w:val="NormalWeb"/>
        <w:rPr>
          <w:rFonts w:asciiTheme="minorHAnsi" w:hAnsiTheme="minorHAnsi" w:cstheme="minorHAnsi"/>
          <w:sz w:val="22"/>
          <w:szCs w:val="22"/>
        </w:rPr>
      </w:pPr>
      <w:r w:rsidRPr="00575A60">
        <w:rPr>
          <w:rFonts w:asciiTheme="minorHAnsi" w:hAnsiTheme="minorHAnsi" w:cstheme="minorHAnsi"/>
          <w:sz w:val="22"/>
          <w:szCs w:val="22"/>
        </w:rPr>
        <w:t xml:space="preserve">Effective maritime risk assessment requires not only the analysis of vessel traffic but also the consideration of environmental conditions that directly affect navigational safety. IALA Guideline G1018 provides various risk assessment tools such as PAWSA, IWRAP, and SIRA, which are effective for analyzing collisions, groundings, and contacts in congested waterways. However, the current toolbox lacks a framework for quantitatively assessing environmental risk factors such as wave height, swell, current, wind, and visibility. In </w:t>
      </w:r>
      <w:r w:rsidR="00363C34">
        <w:rPr>
          <w:rFonts w:asciiTheme="minorHAnsi" w:hAnsiTheme="minorHAnsi" w:cstheme="minorHAnsi" w:hint="eastAsia"/>
          <w:sz w:val="22"/>
          <w:szCs w:val="22"/>
        </w:rPr>
        <w:t>fact</w:t>
      </w:r>
      <w:r w:rsidRPr="00575A60">
        <w:rPr>
          <w:rFonts w:asciiTheme="minorHAnsi" w:hAnsiTheme="minorHAnsi" w:cstheme="minorHAnsi"/>
          <w:sz w:val="22"/>
          <w:szCs w:val="22"/>
        </w:rPr>
        <w:t xml:space="preserve">, many maritime accidents occur through the combination of traffic conditions and environmental factors, </w:t>
      </w:r>
      <w:r w:rsidR="00363C34">
        <w:rPr>
          <w:rFonts w:asciiTheme="minorHAnsi" w:hAnsiTheme="minorHAnsi" w:cstheme="minorHAnsi" w:hint="eastAsia"/>
          <w:sz w:val="22"/>
          <w:szCs w:val="22"/>
        </w:rPr>
        <w:t>emphasizing</w:t>
      </w:r>
      <w:r w:rsidRPr="00575A60">
        <w:rPr>
          <w:rFonts w:asciiTheme="minorHAnsi" w:hAnsiTheme="minorHAnsi" w:cstheme="minorHAnsi"/>
          <w:sz w:val="22"/>
          <w:szCs w:val="22"/>
        </w:rPr>
        <w:t xml:space="preserve"> the need for an environment-based assessment tool.</w:t>
      </w:r>
    </w:p>
    <w:p w14:paraId="6B2A0D3C" w14:textId="5D4252E4" w:rsidR="000B42D0" w:rsidRPr="00575A60" w:rsidRDefault="006A285A" w:rsidP="006A285A">
      <w:pPr>
        <w:pStyle w:val="NormalWeb"/>
        <w:rPr>
          <w:rFonts w:asciiTheme="minorHAnsi" w:hAnsiTheme="minorHAnsi" w:cstheme="minorHAnsi"/>
          <w:sz w:val="22"/>
          <w:szCs w:val="22"/>
        </w:rPr>
      </w:pPr>
      <w:r w:rsidRPr="00575A60">
        <w:rPr>
          <w:rFonts w:asciiTheme="minorHAnsi" w:hAnsiTheme="minorHAnsi" w:cstheme="minorHAnsi"/>
          <w:sz w:val="22"/>
          <w:szCs w:val="22"/>
        </w:rPr>
        <w:t>To address this gap, this study proposes the Maritime Hydro-</w:t>
      </w:r>
      <w:proofErr w:type="spellStart"/>
      <w:r w:rsidRPr="00575A60">
        <w:rPr>
          <w:rFonts w:asciiTheme="minorHAnsi" w:hAnsiTheme="minorHAnsi" w:cstheme="minorHAnsi"/>
          <w:sz w:val="22"/>
          <w:szCs w:val="22"/>
        </w:rPr>
        <w:t>Meteo</w:t>
      </w:r>
      <w:proofErr w:type="spellEnd"/>
      <w:r w:rsidRPr="00575A60">
        <w:rPr>
          <w:rFonts w:asciiTheme="minorHAnsi" w:hAnsiTheme="minorHAnsi" w:cstheme="minorHAnsi"/>
          <w:sz w:val="22"/>
          <w:szCs w:val="22"/>
        </w:rPr>
        <w:t xml:space="preserve"> Fusion Index (MHFI) as an environment-based risk assessment tool. The MHFI quantifies five key elements—wave height, swell, current, wind, and visibility—each classified into five levels of risk based on international standards and domestic indices. The final composite index is derived by applying weight to the three most influential </w:t>
      </w:r>
      <w:r w:rsidR="00363C34" w:rsidRPr="00363C34">
        <w:rPr>
          <w:rFonts w:asciiTheme="minorHAnsi" w:hAnsiTheme="minorHAnsi" w:cstheme="minorHAnsi"/>
          <w:sz w:val="22"/>
          <w:szCs w:val="22"/>
        </w:rPr>
        <w:t>factors to effectively reflect significant environmental risks to navigation</w:t>
      </w:r>
      <w:r w:rsidR="000B42D0" w:rsidRPr="00575A60">
        <w:rPr>
          <w:rFonts w:asciiTheme="minorHAnsi" w:hAnsiTheme="minorHAnsi" w:cstheme="minorHAnsi"/>
          <w:sz w:val="22"/>
          <w:szCs w:val="22"/>
        </w:rPr>
        <w:t>.</w:t>
      </w:r>
    </w:p>
    <w:p w14:paraId="5989DCE8" w14:textId="77777777" w:rsidR="006A285A" w:rsidRPr="00575A60" w:rsidRDefault="006A285A" w:rsidP="006A285A">
      <w:pPr>
        <w:spacing w:before="100" w:beforeAutospacing="1" w:after="100" w:afterAutospacing="1"/>
        <w:rPr>
          <w:rFonts w:asciiTheme="minorHAnsi" w:eastAsia="Gulim" w:hAnsiTheme="minorHAnsi" w:cstheme="minorHAnsi"/>
          <w:color w:val="000000" w:themeColor="text1"/>
          <w:lang w:val="en-US" w:eastAsia="ko-KR"/>
        </w:rPr>
      </w:pPr>
      <w:r w:rsidRPr="00575A60">
        <w:rPr>
          <w:rFonts w:asciiTheme="minorHAnsi" w:eastAsia="Gulim" w:hAnsiTheme="minorHAnsi" w:cstheme="minorHAnsi"/>
          <w:lang w:eastAsia="ko-KR"/>
        </w:rPr>
        <w:t>The MHFI offers several key advantages:</w:t>
      </w:r>
    </w:p>
    <w:p w14:paraId="3150814E" w14:textId="4DDCFDB8" w:rsidR="006A285A" w:rsidRPr="00575A60" w:rsidRDefault="006A285A" w:rsidP="007B4CB6">
      <w:pPr>
        <w:numPr>
          <w:ilvl w:val="0"/>
          <w:numId w:val="17"/>
        </w:numPr>
        <w:spacing w:before="100" w:beforeAutospacing="1" w:after="100" w:afterAutospacing="1"/>
        <w:rPr>
          <w:rFonts w:asciiTheme="minorHAnsi" w:eastAsia="Gulim" w:hAnsiTheme="minorHAnsi" w:cstheme="minorHAnsi"/>
          <w:color w:val="000000" w:themeColor="text1"/>
          <w:lang w:val="en-US" w:eastAsia="ko-KR"/>
        </w:rPr>
      </w:pPr>
      <w:r w:rsidRPr="00575A60">
        <w:rPr>
          <w:rFonts w:asciiTheme="minorHAnsi" w:eastAsia="Gulim" w:hAnsiTheme="minorHAnsi" w:cstheme="minorHAnsi"/>
          <w:color w:val="000000" w:themeColor="text1"/>
          <w:lang w:eastAsia="ko-KR"/>
        </w:rPr>
        <w:t>It reflects the combined impact of multiple environmental factors rather than a single element</w:t>
      </w:r>
    </w:p>
    <w:p w14:paraId="3BB46CF2" w14:textId="4A2BDBE3" w:rsidR="006A285A" w:rsidRPr="00575A60" w:rsidRDefault="006A285A" w:rsidP="007B4CB6">
      <w:pPr>
        <w:numPr>
          <w:ilvl w:val="0"/>
          <w:numId w:val="17"/>
        </w:numPr>
        <w:spacing w:before="100" w:beforeAutospacing="1" w:after="100" w:afterAutospacing="1"/>
        <w:rPr>
          <w:rFonts w:asciiTheme="minorHAnsi" w:eastAsia="Gulim" w:hAnsiTheme="minorHAnsi" w:cstheme="minorHAnsi"/>
          <w:color w:val="000000" w:themeColor="text1"/>
          <w:lang w:val="en-US" w:eastAsia="ko-KR"/>
        </w:rPr>
      </w:pPr>
      <w:r w:rsidRPr="00575A60">
        <w:rPr>
          <w:rFonts w:asciiTheme="minorHAnsi" w:eastAsia="Gulim" w:hAnsiTheme="minorHAnsi" w:cstheme="minorHAnsi"/>
          <w:color w:val="000000" w:themeColor="text1"/>
          <w:lang w:eastAsia="ko-KR"/>
        </w:rPr>
        <w:t>Results can be visualized on S-100 based electronic charts, using color-coded levels (LV0–LV4: green–yellow–orange–red–deep red) for intuitive understanding</w:t>
      </w:r>
      <w:r w:rsidR="00363C34">
        <w:rPr>
          <w:rFonts w:asciiTheme="minorHAnsi" w:eastAsia="Gulim" w:hAnsiTheme="minorHAnsi" w:cstheme="minorHAnsi" w:hint="eastAsia"/>
          <w:color w:val="000000" w:themeColor="text1"/>
          <w:lang w:eastAsia="ko-KR"/>
        </w:rPr>
        <w:t xml:space="preserve"> and visualization</w:t>
      </w:r>
    </w:p>
    <w:p w14:paraId="716846FE" w14:textId="34A2EA45" w:rsidR="006A285A" w:rsidRPr="00575A60" w:rsidRDefault="006A285A" w:rsidP="007B4CB6">
      <w:pPr>
        <w:numPr>
          <w:ilvl w:val="0"/>
          <w:numId w:val="17"/>
        </w:numPr>
        <w:spacing w:before="100" w:beforeAutospacing="1" w:after="100" w:afterAutospacing="1"/>
        <w:rPr>
          <w:rFonts w:asciiTheme="minorHAnsi" w:eastAsia="Gulim" w:hAnsiTheme="minorHAnsi" w:cstheme="minorHAnsi"/>
          <w:color w:val="000000" w:themeColor="text1"/>
          <w:lang w:val="en-US" w:eastAsia="ko-KR"/>
        </w:rPr>
      </w:pPr>
      <w:r w:rsidRPr="00575A60">
        <w:rPr>
          <w:rFonts w:asciiTheme="minorHAnsi" w:eastAsia="Gulim" w:hAnsiTheme="minorHAnsi" w:cstheme="minorHAnsi"/>
          <w:color w:val="000000" w:themeColor="text1"/>
          <w:lang w:eastAsia="ko-KR"/>
        </w:rPr>
        <w:t xml:space="preserve">It is developed </w:t>
      </w:r>
      <w:r w:rsidR="00363C34">
        <w:rPr>
          <w:rFonts w:asciiTheme="minorHAnsi" w:eastAsia="Gulim" w:hAnsiTheme="minorHAnsi" w:cstheme="minorHAnsi" w:hint="eastAsia"/>
          <w:color w:val="000000" w:themeColor="text1"/>
          <w:lang w:eastAsia="ko-KR"/>
        </w:rPr>
        <w:t>based on</w:t>
      </w:r>
      <w:r w:rsidRPr="00575A60">
        <w:rPr>
          <w:rFonts w:asciiTheme="minorHAnsi" w:eastAsia="Gulim" w:hAnsiTheme="minorHAnsi" w:cstheme="minorHAnsi"/>
          <w:color w:val="000000" w:themeColor="text1"/>
          <w:lang w:eastAsia="ko-KR"/>
        </w:rPr>
        <w:t xml:space="preserve"> numerical weather and ocean forecast data, making it inherently suitable for real-time application</w:t>
      </w:r>
    </w:p>
    <w:p w14:paraId="3DAF2B01" w14:textId="22786D7C" w:rsidR="00C652EE" w:rsidRPr="00575A60" w:rsidRDefault="006A285A" w:rsidP="000B42D0">
      <w:pPr>
        <w:spacing w:before="100" w:beforeAutospacing="1" w:after="100" w:afterAutospacing="1"/>
        <w:rPr>
          <w:rFonts w:asciiTheme="minorHAnsi" w:eastAsia="Gulim" w:hAnsiTheme="minorHAnsi" w:cstheme="minorHAnsi"/>
          <w:lang w:val="en-US" w:eastAsia="ko-KR"/>
        </w:rPr>
      </w:pPr>
      <w:r w:rsidRPr="00575A60">
        <w:rPr>
          <w:rFonts w:asciiTheme="minorHAnsi" w:eastAsia="Gulim" w:hAnsiTheme="minorHAnsi" w:cstheme="minorHAnsi"/>
          <w:color w:val="000000" w:themeColor="text1"/>
          <w:lang w:eastAsia="ko-KR"/>
        </w:rPr>
        <w:t>Including the MHFI in the IALA Risk Management Toolbox would extend the current traffic-oriented framework into a more comprehensive system that also incorporates environmental factors. This will support safe navigation in coastal and port areas, provide objective criteria applicable to both small and large vessels, and strengthen IALA’s overall risk management strategy</w:t>
      </w:r>
      <w:r w:rsidR="000B42D0" w:rsidRPr="00575A60">
        <w:rPr>
          <w:rFonts w:asciiTheme="minorHAnsi" w:eastAsia="Gulim" w:hAnsiTheme="minorHAnsi" w:cstheme="minorHAnsi"/>
          <w:color w:val="000000" w:themeColor="text1"/>
          <w:lang w:eastAsia="ko-KR"/>
        </w:rPr>
        <w:t>.</w:t>
      </w:r>
    </w:p>
    <w:p w14:paraId="53733F03" w14:textId="77777777" w:rsidR="00A446C9" w:rsidRPr="007A395D" w:rsidRDefault="00A446C9" w:rsidP="00605E43">
      <w:pPr>
        <w:pStyle w:val="Heading1"/>
      </w:pPr>
      <w:r w:rsidRPr="007A395D">
        <w:lastRenderedPageBreak/>
        <w:t>Background</w:t>
      </w:r>
    </w:p>
    <w:p w14:paraId="6CC381F8" w14:textId="315FA89D" w:rsidR="00EE41A4" w:rsidRPr="00575A60" w:rsidRDefault="00EE41A4" w:rsidP="00EE41A4">
      <w:pPr>
        <w:pStyle w:val="NormalWeb"/>
        <w:rPr>
          <w:rFonts w:asciiTheme="minorHAnsi" w:hAnsiTheme="minorHAnsi" w:cstheme="minorHAnsi"/>
          <w:sz w:val="22"/>
          <w:szCs w:val="22"/>
        </w:rPr>
      </w:pPr>
      <w:r w:rsidRPr="00575A60">
        <w:rPr>
          <w:rFonts w:asciiTheme="minorHAnsi" w:hAnsiTheme="minorHAnsi" w:cstheme="minorHAnsi"/>
          <w:sz w:val="22"/>
          <w:szCs w:val="22"/>
        </w:rPr>
        <w:t xml:space="preserve">Quantitative risk assessment that integrates hydrographic and meteorological conditions is insufficiently addressed in the current IALA risk assessment framework, which highlights the need for a new complementary tool. </w:t>
      </w:r>
      <w:r w:rsidR="00363C34" w:rsidRPr="00363C34">
        <w:rPr>
          <w:rFonts w:asciiTheme="minorHAnsi" w:hAnsiTheme="minorHAnsi" w:cstheme="minorHAnsi"/>
          <w:sz w:val="22"/>
          <w:szCs w:val="22"/>
        </w:rPr>
        <w:t>Currently</w:t>
      </w:r>
      <w:r w:rsidRPr="00575A60">
        <w:rPr>
          <w:rFonts w:asciiTheme="minorHAnsi" w:hAnsiTheme="minorHAnsi" w:cstheme="minorHAnsi"/>
          <w:sz w:val="22"/>
          <w:szCs w:val="22"/>
        </w:rPr>
        <w:t>, the IALA G1018 Risk Management Toolbox is mainly composed of traffic-based methods such as IWRAP, PAWSA, and SIRA, which rely on AIS traffic data for both quantitative and qualitative evaluation. These methods are effective for assessing traffic-related risks such as collisions, contacts, and groundings. However, in practice, many maritime accidents occur not only due to traffic conditions but also through the combined effects of wave height, swell, current, wind, and visibility. A structured method to quantify such environmental risks is absent from the current Toolbox. Therefore, it is necessary to establish a risk assessment framework that comprehensively incorporates hydro-</w:t>
      </w:r>
      <w:proofErr w:type="spellStart"/>
      <w:r w:rsidRPr="00575A60">
        <w:rPr>
          <w:rFonts w:asciiTheme="minorHAnsi" w:hAnsiTheme="minorHAnsi" w:cstheme="minorHAnsi"/>
          <w:sz w:val="22"/>
          <w:szCs w:val="22"/>
        </w:rPr>
        <w:t>meteo</w:t>
      </w:r>
      <w:proofErr w:type="spellEnd"/>
      <w:r w:rsidRPr="00575A60">
        <w:rPr>
          <w:rFonts w:asciiTheme="minorHAnsi" w:hAnsiTheme="minorHAnsi" w:cstheme="minorHAnsi"/>
          <w:sz w:val="22"/>
          <w:szCs w:val="22"/>
        </w:rPr>
        <w:t xml:space="preserve"> conditions.</w:t>
      </w:r>
    </w:p>
    <w:p w14:paraId="235DEF05" w14:textId="75FD59C2" w:rsidR="00EE41A4" w:rsidRPr="00EE41A4" w:rsidRDefault="00EE41A4" w:rsidP="00EE41A4">
      <w:pPr>
        <w:pStyle w:val="NormalWeb"/>
        <w:rPr>
          <w:rFonts w:asciiTheme="minorHAnsi" w:hAnsiTheme="minorHAnsi" w:cstheme="minorHAnsi"/>
          <w:sz w:val="22"/>
          <w:szCs w:val="22"/>
        </w:rPr>
      </w:pPr>
      <w:r w:rsidRPr="00EE41A4">
        <w:rPr>
          <w:rFonts w:asciiTheme="minorHAnsi" w:hAnsiTheme="minorHAnsi" w:cstheme="minorHAnsi"/>
          <w:sz w:val="22"/>
          <w:szCs w:val="22"/>
        </w:rPr>
        <w:t xml:space="preserve">Various indices have been developed domestically and internationally to address this gap. In Korea, the Ship Operation Index developed by KHOA provides four levels of risk based on forecast data such as wind, current, and wave height, but it does not capture the interaction among </w:t>
      </w:r>
      <w:r w:rsidR="00363C34">
        <w:rPr>
          <w:rFonts w:asciiTheme="minorHAnsi" w:hAnsiTheme="minorHAnsi" w:cstheme="minorHAnsi" w:hint="eastAsia"/>
          <w:sz w:val="22"/>
          <w:szCs w:val="22"/>
        </w:rPr>
        <w:t xml:space="preserve">these </w:t>
      </w:r>
      <w:r w:rsidRPr="00EE41A4">
        <w:rPr>
          <w:rFonts w:asciiTheme="minorHAnsi" w:hAnsiTheme="minorHAnsi" w:cstheme="minorHAnsi"/>
          <w:sz w:val="22"/>
          <w:szCs w:val="22"/>
        </w:rPr>
        <w:t xml:space="preserve">factors. The Harbor and Marine Safety Index translates waves, currents, and winds into external forces to calculate risk at the port scale, but it does not sufficiently reflect the operational characteristics of small coastal vessels. The index developed by the National Federation of Fisheries Cooperatives </w:t>
      </w:r>
      <w:r w:rsidR="00363C34">
        <w:rPr>
          <w:rFonts w:asciiTheme="minorHAnsi" w:hAnsiTheme="minorHAnsi" w:cstheme="minorHAnsi" w:hint="eastAsia"/>
          <w:sz w:val="22"/>
          <w:szCs w:val="22"/>
        </w:rPr>
        <w:t>relies</w:t>
      </w:r>
      <w:r w:rsidRPr="00EE41A4">
        <w:rPr>
          <w:rFonts w:asciiTheme="minorHAnsi" w:hAnsiTheme="minorHAnsi" w:cstheme="minorHAnsi"/>
          <w:sz w:val="22"/>
          <w:szCs w:val="22"/>
        </w:rPr>
        <w:t xml:space="preserve"> on the single most dangerous factor, making it difficult to represent complex risk situations. </w:t>
      </w:r>
      <w:r w:rsidR="00363C34" w:rsidRPr="00363C34">
        <w:rPr>
          <w:rFonts w:asciiTheme="minorHAnsi" w:hAnsiTheme="minorHAnsi" w:cstheme="minorHAnsi"/>
          <w:sz w:val="22"/>
          <w:szCs w:val="22"/>
        </w:rPr>
        <w:t>Internationally</w:t>
      </w:r>
      <w:r w:rsidRPr="00EE41A4">
        <w:rPr>
          <w:rFonts w:asciiTheme="minorHAnsi" w:hAnsiTheme="minorHAnsi" w:cstheme="minorHAnsi"/>
          <w:sz w:val="22"/>
          <w:szCs w:val="22"/>
        </w:rPr>
        <w:t>, major ports such as New York and New Jersey have introduced Operational Forecast Systems that combine real-time observations with numerical models to provide nowcasts and forecasts. However, these systems are primarily focused on prediction at the port scale and differ from a framework designed to quantify integrated risks for coastal navigation and small vessels.</w:t>
      </w:r>
    </w:p>
    <w:p w14:paraId="65A76A41" w14:textId="1520705E" w:rsidR="00EE41A4" w:rsidRPr="00EE41A4" w:rsidRDefault="00EE41A4" w:rsidP="00EE41A4">
      <w:pPr>
        <w:pStyle w:val="NormalWeb"/>
        <w:rPr>
          <w:rFonts w:asciiTheme="minorHAnsi" w:hAnsiTheme="minorHAnsi" w:cstheme="minorHAnsi"/>
          <w:sz w:val="22"/>
          <w:szCs w:val="22"/>
        </w:rPr>
      </w:pPr>
      <w:r w:rsidRPr="00EE41A4">
        <w:rPr>
          <w:rFonts w:asciiTheme="minorHAnsi" w:hAnsiTheme="minorHAnsi" w:cstheme="minorHAnsi"/>
          <w:sz w:val="22"/>
          <w:szCs w:val="22"/>
        </w:rPr>
        <w:t>These limitations clearly demonstrate the need for a new quantitative approach that comprehensively incorporates hydro-</w:t>
      </w:r>
      <w:proofErr w:type="spellStart"/>
      <w:r w:rsidRPr="00EE41A4">
        <w:rPr>
          <w:rFonts w:asciiTheme="minorHAnsi" w:hAnsiTheme="minorHAnsi" w:cstheme="minorHAnsi"/>
          <w:sz w:val="22"/>
          <w:szCs w:val="22"/>
        </w:rPr>
        <w:t>meteo</w:t>
      </w:r>
      <w:proofErr w:type="spellEnd"/>
      <w:r w:rsidRPr="00EE41A4">
        <w:rPr>
          <w:rFonts w:asciiTheme="minorHAnsi" w:hAnsiTheme="minorHAnsi" w:cstheme="minorHAnsi"/>
          <w:sz w:val="22"/>
          <w:szCs w:val="22"/>
        </w:rPr>
        <w:t xml:space="preserve"> risk factors. MHFI </w:t>
      </w:r>
      <w:r w:rsidR="00363C34" w:rsidRPr="00363C34">
        <w:rPr>
          <w:rFonts w:asciiTheme="minorHAnsi" w:hAnsiTheme="minorHAnsi" w:cstheme="minorHAnsi"/>
          <w:sz w:val="22"/>
          <w:szCs w:val="22"/>
        </w:rPr>
        <w:t xml:space="preserve">individually </w:t>
      </w:r>
      <w:r w:rsidRPr="00EE41A4">
        <w:rPr>
          <w:rFonts w:asciiTheme="minorHAnsi" w:hAnsiTheme="minorHAnsi" w:cstheme="minorHAnsi"/>
          <w:sz w:val="22"/>
          <w:szCs w:val="22"/>
        </w:rPr>
        <w:t>quantifies five major environmental elements—wave height, swell, current, wind, and visibility</w:t>
      </w:r>
      <w:r w:rsidR="00363C34">
        <w:rPr>
          <w:rFonts w:asciiTheme="minorHAnsi" w:hAnsiTheme="minorHAnsi" w:cstheme="minorHAnsi" w:hint="eastAsia"/>
          <w:sz w:val="22"/>
          <w:szCs w:val="22"/>
        </w:rPr>
        <w:t xml:space="preserve"> then </w:t>
      </w:r>
      <w:r w:rsidR="00363C34" w:rsidRPr="00363C34">
        <w:rPr>
          <w:rFonts w:asciiTheme="minorHAnsi" w:hAnsiTheme="minorHAnsi" w:cstheme="minorHAnsi"/>
          <w:sz w:val="22"/>
          <w:szCs w:val="22"/>
        </w:rPr>
        <w:t>incorporates the three most critical factors to calculate the</w:t>
      </w:r>
      <w:r w:rsidRPr="00EE41A4">
        <w:rPr>
          <w:rFonts w:asciiTheme="minorHAnsi" w:hAnsiTheme="minorHAnsi" w:cstheme="minorHAnsi"/>
          <w:sz w:val="22"/>
          <w:szCs w:val="22"/>
        </w:rPr>
        <w:t xml:space="preserve"> final composite. This approach enables the </w:t>
      </w:r>
      <w:r w:rsidR="00363C34">
        <w:rPr>
          <w:rFonts w:asciiTheme="minorHAnsi" w:hAnsiTheme="minorHAnsi" w:cstheme="minorHAnsi" w:hint="eastAsia"/>
          <w:sz w:val="22"/>
          <w:szCs w:val="22"/>
        </w:rPr>
        <w:t>representation</w:t>
      </w:r>
      <w:r w:rsidRPr="00EE41A4">
        <w:rPr>
          <w:rFonts w:asciiTheme="minorHAnsi" w:hAnsiTheme="minorHAnsi" w:cstheme="minorHAnsi"/>
          <w:sz w:val="22"/>
          <w:szCs w:val="22"/>
        </w:rPr>
        <w:t xml:space="preserve"> of complex risks that occur in actual operational environments. Unlike existing indices that depend on a single factor, the MHFI provides objective warning criteria rather than relying on the subjective judgment of operators or authorities.</w:t>
      </w:r>
    </w:p>
    <w:p w14:paraId="62A43ED7" w14:textId="791E6112" w:rsidR="00EE41A4" w:rsidRPr="00EE41A4" w:rsidRDefault="00363C34" w:rsidP="00EE41A4">
      <w:pPr>
        <w:pStyle w:val="NormalWeb"/>
        <w:rPr>
          <w:sz w:val="20"/>
          <w:szCs w:val="20"/>
        </w:rPr>
      </w:pPr>
      <w:r>
        <w:rPr>
          <w:rFonts w:asciiTheme="minorHAnsi" w:hAnsiTheme="minorHAnsi" w:cstheme="minorHAnsi"/>
          <w:sz w:val="22"/>
          <w:szCs w:val="22"/>
        </w:rPr>
        <w:t>A</w:t>
      </w:r>
      <w:r>
        <w:rPr>
          <w:rFonts w:asciiTheme="minorHAnsi" w:hAnsiTheme="minorHAnsi" w:cstheme="minorHAnsi" w:hint="eastAsia"/>
          <w:sz w:val="22"/>
          <w:szCs w:val="22"/>
        </w:rPr>
        <w:t>s such</w:t>
      </w:r>
      <w:r w:rsidR="00EE41A4" w:rsidRPr="00EE41A4">
        <w:rPr>
          <w:rFonts w:asciiTheme="minorHAnsi" w:hAnsiTheme="minorHAnsi" w:cstheme="minorHAnsi"/>
          <w:sz w:val="22"/>
          <w:szCs w:val="22"/>
        </w:rPr>
        <w:t>, MHFI should be recognized as a practical and innovative tool that complements the traffic-oriented assessments of the current Toolbox. It can enhance safety for coastal and small vessels</w:t>
      </w:r>
      <w:r>
        <w:rPr>
          <w:rFonts w:asciiTheme="minorHAnsi" w:hAnsiTheme="minorHAnsi" w:cstheme="minorHAnsi" w:hint="eastAsia"/>
          <w:sz w:val="22"/>
          <w:szCs w:val="22"/>
        </w:rPr>
        <w:t>,</w:t>
      </w:r>
      <w:r w:rsidR="00EE41A4" w:rsidRPr="00EE41A4">
        <w:rPr>
          <w:rFonts w:asciiTheme="minorHAnsi" w:hAnsiTheme="minorHAnsi" w:cstheme="minorHAnsi"/>
          <w:sz w:val="22"/>
          <w:szCs w:val="22"/>
        </w:rPr>
        <w:t xml:space="preserve"> and should be considered in the revision of the Risk Assessment Toolbox under </w:t>
      </w:r>
      <w:r w:rsidR="00EE41A4" w:rsidRPr="00363C34">
        <w:rPr>
          <w:rFonts w:asciiTheme="minorHAnsi" w:hAnsiTheme="minorHAnsi" w:cstheme="minorHAnsi"/>
          <w:sz w:val="22"/>
          <w:szCs w:val="22"/>
        </w:rPr>
        <w:t>Guideline</w:t>
      </w:r>
      <w:r>
        <w:rPr>
          <w:rFonts w:asciiTheme="minorHAnsi" w:hAnsiTheme="minorHAnsi" w:cstheme="minorHAnsi" w:hint="eastAsia"/>
          <w:sz w:val="22"/>
          <w:szCs w:val="22"/>
        </w:rPr>
        <w:t xml:space="preserve"> 1018</w:t>
      </w:r>
      <w:r w:rsidR="00EE41A4" w:rsidRPr="00363C34">
        <w:rPr>
          <w:rFonts w:asciiTheme="minorHAnsi" w:hAnsiTheme="minorHAnsi" w:cstheme="minorHAnsi"/>
          <w:sz w:val="20"/>
          <w:szCs w:val="20"/>
        </w:rPr>
        <w:t>.</w:t>
      </w:r>
    </w:p>
    <w:p w14:paraId="01ADDD30" w14:textId="35701B9B" w:rsidR="00BE3E5D" w:rsidRPr="00BE3E5D" w:rsidRDefault="00BE3E5D" w:rsidP="00BE3E5D">
      <w:pPr>
        <w:pStyle w:val="Heading1"/>
      </w:pPr>
      <w:r>
        <w:rPr>
          <w:rFonts w:hint="eastAsia"/>
        </w:rPr>
        <w:t>M</w:t>
      </w:r>
      <w:r w:rsidR="007C0AF2">
        <w:rPr>
          <w:rFonts w:hint="eastAsia"/>
          <w:lang w:eastAsia="ko-KR"/>
        </w:rPr>
        <w:t>H</w:t>
      </w:r>
      <w:r>
        <w:rPr>
          <w:rFonts w:hint="eastAsia"/>
        </w:rPr>
        <w:t>FI Development</w:t>
      </w:r>
    </w:p>
    <w:p w14:paraId="09824E86" w14:textId="57792AEC" w:rsidR="00EE41A4" w:rsidRPr="00575A60" w:rsidRDefault="00EE41A4" w:rsidP="00EE41A4">
      <w:pPr>
        <w:pStyle w:val="BodyText"/>
        <w:rPr>
          <w:rFonts w:asciiTheme="minorHAnsi" w:hAnsiTheme="minorHAnsi" w:cstheme="minorHAnsi"/>
          <w:lang w:val="en-US"/>
        </w:rPr>
      </w:pPr>
      <w:r w:rsidRPr="00575A60">
        <w:rPr>
          <w:rFonts w:asciiTheme="minorHAnsi" w:hAnsiTheme="minorHAnsi" w:cstheme="minorHAnsi"/>
          <w:lang w:val="en-US"/>
        </w:rPr>
        <w:t>The</w:t>
      </w:r>
      <w:r w:rsidR="007C0AF2" w:rsidRPr="00575A60">
        <w:rPr>
          <w:rFonts w:asciiTheme="minorHAnsi" w:hAnsiTheme="minorHAnsi" w:cstheme="minorHAnsi"/>
          <w:lang w:val="en-US" w:eastAsia="ko-KR"/>
        </w:rPr>
        <w:t xml:space="preserve"> </w:t>
      </w:r>
      <w:r w:rsidRPr="00575A60">
        <w:rPr>
          <w:rFonts w:asciiTheme="minorHAnsi" w:hAnsiTheme="minorHAnsi" w:cstheme="minorHAnsi"/>
          <w:lang w:val="en-US"/>
        </w:rPr>
        <w:t xml:space="preserve">MHFI is designed to quantitatively evaluate hydrographic and meteorological conditions that affect vessel operations </w:t>
      </w:r>
      <w:r w:rsidR="00363C34">
        <w:rPr>
          <w:rFonts w:asciiTheme="minorHAnsi" w:hAnsiTheme="minorHAnsi" w:cstheme="minorHAnsi" w:hint="eastAsia"/>
          <w:lang w:val="en-US" w:eastAsia="ko-KR"/>
        </w:rPr>
        <w:t>as, well as</w:t>
      </w:r>
      <w:r w:rsidRPr="00575A60">
        <w:rPr>
          <w:rFonts w:asciiTheme="minorHAnsi" w:hAnsiTheme="minorHAnsi" w:cstheme="minorHAnsi"/>
          <w:lang w:val="en-US"/>
        </w:rPr>
        <w:t xml:space="preserve"> to present corresponding levels of risk. The index is structured around five key elements—wave height, swell, current, wind, and visibility—which are each quantified individually. Based on these </w:t>
      </w:r>
      <w:r w:rsidR="00363C34">
        <w:rPr>
          <w:rFonts w:asciiTheme="minorHAnsi" w:hAnsiTheme="minorHAnsi" w:cstheme="minorHAnsi"/>
          <w:lang w:val="en-US" w:eastAsia="ko-KR"/>
        </w:rPr>
        <w:t>individual</w:t>
      </w:r>
      <w:r w:rsidR="00363C34">
        <w:rPr>
          <w:rFonts w:asciiTheme="minorHAnsi" w:hAnsiTheme="minorHAnsi" w:cstheme="minorHAnsi" w:hint="eastAsia"/>
          <w:lang w:val="en-US" w:eastAsia="ko-KR"/>
        </w:rPr>
        <w:t xml:space="preserve"> </w:t>
      </w:r>
      <w:r w:rsidRPr="00575A60">
        <w:rPr>
          <w:rFonts w:asciiTheme="minorHAnsi" w:hAnsiTheme="minorHAnsi" w:cstheme="minorHAnsi"/>
          <w:lang w:val="en-US"/>
        </w:rPr>
        <w:t>assessments, a final composite risk index is derived.</w:t>
      </w:r>
    </w:p>
    <w:p w14:paraId="359268AE" w14:textId="52A7B345" w:rsidR="00357025" w:rsidRPr="00575A60" w:rsidRDefault="00EE41A4" w:rsidP="00555C59">
      <w:pPr>
        <w:pStyle w:val="BodyText"/>
        <w:rPr>
          <w:rFonts w:asciiTheme="minorHAnsi" w:eastAsia="Gulim" w:hAnsiTheme="minorHAnsi" w:cstheme="minorHAnsi"/>
          <w:lang w:val="en-US" w:eastAsia="ko-KR"/>
        </w:rPr>
      </w:pPr>
      <w:r w:rsidRPr="00EE41A4">
        <w:rPr>
          <w:rFonts w:asciiTheme="minorHAnsi" w:eastAsia="Gulim" w:hAnsiTheme="minorHAnsi" w:cstheme="minorHAnsi"/>
          <w:lang w:val="en-US" w:eastAsia="ko-KR"/>
        </w:rPr>
        <w:t xml:space="preserve">Each element is classified into five levels (Safe, Caution, Warning, Danger, Extreme Danger) using criteria drawn from international standards, domestic and international research results, accident statistics, and operational restrictions. </w:t>
      </w:r>
      <w:r w:rsidR="00363C34">
        <w:rPr>
          <w:rFonts w:asciiTheme="minorHAnsi" w:eastAsia="Gulim" w:hAnsiTheme="minorHAnsi" w:cstheme="minorHAnsi"/>
          <w:lang w:val="en-US" w:eastAsia="ko-KR"/>
        </w:rPr>
        <w:t>W</w:t>
      </w:r>
      <w:r w:rsidR="00363C34">
        <w:rPr>
          <w:rFonts w:asciiTheme="minorHAnsi" w:eastAsia="Gulim" w:hAnsiTheme="minorHAnsi" w:cstheme="minorHAnsi" w:hint="eastAsia"/>
          <w:lang w:val="en-US" w:eastAsia="ko-KR"/>
        </w:rPr>
        <w:t>hen</w:t>
      </w:r>
      <w:r w:rsidRPr="00EE41A4">
        <w:rPr>
          <w:rFonts w:asciiTheme="minorHAnsi" w:eastAsia="Gulim" w:hAnsiTheme="minorHAnsi" w:cstheme="minorHAnsi"/>
          <w:lang w:val="en-US" w:eastAsia="ko-KR"/>
        </w:rPr>
        <w:t xml:space="preserve"> calculating the final index, the three most critical elements with the highest risk levels are integrated, rather than applying a simple sum. The composite risk </w:t>
      </w:r>
      <w:r w:rsidR="00363C34">
        <w:rPr>
          <w:rFonts w:asciiTheme="minorHAnsi" w:eastAsia="Gulim" w:hAnsiTheme="minorHAnsi" w:cstheme="minorHAnsi" w:hint="eastAsia"/>
          <w:lang w:val="en-US" w:eastAsia="ko-KR"/>
        </w:rPr>
        <w:t xml:space="preserve">result </w:t>
      </w:r>
      <w:r w:rsidRPr="00EE41A4">
        <w:rPr>
          <w:rFonts w:asciiTheme="minorHAnsi" w:eastAsia="Gulim" w:hAnsiTheme="minorHAnsi" w:cstheme="minorHAnsi"/>
          <w:lang w:val="en-US" w:eastAsia="ko-KR"/>
        </w:rPr>
        <w:t>is then represented on S-100 based electronic charts, enabling clear spatial visualization of maritime risks.</w:t>
      </w:r>
    </w:p>
    <w:p w14:paraId="69DD0270" w14:textId="22180D8F" w:rsidR="00BC022A" w:rsidRDefault="00EC28BE" w:rsidP="00BC022A">
      <w:pPr>
        <w:pStyle w:val="Heading2"/>
        <w:rPr>
          <w:rFonts w:eastAsia="Malgun Gothic"/>
          <w:lang w:eastAsia="ko-KR"/>
        </w:rPr>
      </w:pPr>
      <w:r w:rsidRPr="00EC28BE">
        <w:rPr>
          <w:rFonts w:eastAsia="Malgun Gothic"/>
          <w:lang w:eastAsia="ko-KR"/>
        </w:rPr>
        <w:t>Wave Height Risk Index</w:t>
      </w:r>
    </w:p>
    <w:p w14:paraId="1831C27A" w14:textId="06953F54" w:rsidR="00250BFD" w:rsidRDefault="00EE41A4" w:rsidP="00555C59">
      <w:pPr>
        <w:pStyle w:val="NormalWeb"/>
        <w:rPr>
          <w:rFonts w:asciiTheme="minorHAnsi" w:eastAsia="Malgun Gothic" w:hAnsiTheme="minorHAnsi" w:cstheme="minorHAnsi"/>
          <w:sz w:val="22"/>
          <w:szCs w:val="22"/>
          <w:lang w:val="en-GB"/>
        </w:rPr>
      </w:pPr>
      <w:r w:rsidRPr="00575A60">
        <w:rPr>
          <w:rFonts w:asciiTheme="minorHAnsi" w:eastAsiaTheme="majorEastAsia" w:hAnsiTheme="minorHAnsi" w:cstheme="minorHAnsi"/>
          <w:sz w:val="22"/>
          <w:szCs w:val="22"/>
          <w:lang w:val="en-GB"/>
        </w:rPr>
        <w:t xml:space="preserve">The wave height risk index is established based on the widely used WMO Sea State classification. A wave height </w:t>
      </w:r>
      <w:r w:rsidRPr="005B1480">
        <w:rPr>
          <w:rFonts w:asciiTheme="minorHAnsi" w:eastAsiaTheme="majorEastAsia" w:hAnsiTheme="minorHAnsi" w:cstheme="minorHAnsi"/>
          <w:sz w:val="22"/>
          <w:szCs w:val="22"/>
          <w:lang w:val="en-GB"/>
        </w:rPr>
        <w:t xml:space="preserve">of 0.5 m or less corresponds to the </w:t>
      </w:r>
      <w:r w:rsidRPr="005B1480">
        <w:rPr>
          <w:rFonts w:asciiTheme="minorHAnsi" w:eastAsiaTheme="majorEastAsia" w:hAnsiTheme="minorHAnsi" w:cstheme="minorHAnsi"/>
          <w:i/>
          <w:iCs/>
          <w:sz w:val="22"/>
          <w:szCs w:val="22"/>
          <w:lang w:val="en-GB"/>
        </w:rPr>
        <w:t>Safe</w:t>
      </w:r>
      <w:r w:rsidRPr="005B1480">
        <w:rPr>
          <w:rFonts w:asciiTheme="minorHAnsi" w:eastAsiaTheme="majorEastAsia" w:hAnsiTheme="minorHAnsi" w:cstheme="minorHAnsi"/>
          <w:sz w:val="22"/>
          <w:szCs w:val="22"/>
          <w:lang w:val="en-GB"/>
        </w:rPr>
        <w:t xml:space="preserve"> level, as it generally does not interfere with normal navigation. The range of 0.5–1.25 m is classified as </w:t>
      </w:r>
      <w:r w:rsidRPr="005B1480">
        <w:rPr>
          <w:rFonts w:asciiTheme="minorHAnsi" w:eastAsiaTheme="majorEastAsia" w:hAnsiTheme="minorHAnsi" w:cstheme="minorHAnsi"/>
          <w:i/>
          <w:iCs/>
          <w:sz w:val="22"/>
          <w:szCs w:val="22"/>
          <w:lang w:val="en-GB"/>
        </w:rPr>
        <w:t>Caution</w:t>
      </w:r>
      <w:r w:rsidRPr="005B1480">
        <w:rPr>
          <w:rFonts w:asciiTheme="minorHAnsi" w:eastAsiaTheme="majorEastAsia" w:hAnsiTheme="minorHAnsi" w:cstheme="minorHAnsi"/>
          <w:sz w:val="22"/>
          <w:szCs w:val="22"/>
          <w:lang w:val="en-GB"/>
        </w:rPr>
        <w:t xml:space="preserve">, where small vessels may experience reduced </w:t>
      </w:r>
      <w:r w:rsidRPr="005B1480">
        <w:rPr>
          <w:rFonts w:asciiTheme="minorHAnsi" w:eastAsiaTheme="majorEastAsia" w:hAnsiTheme="minorHAnsi" w:cstheme="minorHAnsi"/>
          <w:sz w:val="22"/>
          <w:szCs w:val="22"/>
          <w:lang w:val="en-GB"/>
        </w:rPr>
        <w:lastRenderedPageBreak/>
        <w:t xml:space="preserve">manoeuvrability. The range of 1.25–2.5 m corresponds to the </w:t>
      </w:r>
      <w:r w:rsidRPr="005B1480">
        <w:rPr>
          <w:rFonts w:asciiTheme="minorHAnsi" w:eastAsiaTheme="majorEastAsia" w:hAnsiTheme="minorHAnsi" w:cstheme="minorHAnsi"/>
          <w:i/>
          <w:iCs/>
          <w:sz w:val="22"/>
          <w:szCs w:val="22"/>
          <w:lang w:val="en-GB"/>
        </w:rPr>
        <w:t>Warning</w:t>
      </w:r>
      <w:r w:rsidRPr="005B1480">
        <w:rPr>
          <w:rFonts w:asciiTheme="minorHAnsi" w:eastAsiaTheme="majorEastAsia" w:hAnsiTheme="minorHAnsi" w:cstheme="minorHAnsi"/>
          <w:sz w:val="22"/>
          <w:szCs w:val="22"/>
          <w:lang w:val="en-GB"/>
        </w:rPr>
        <w:t xml:space="preserve"> level, equivalent to Sea State 4, where vessel motions increase substantially and the likelihood of accidents involving small coastal vessels rises. The range of 2.5–4.0 m is classified as </w:t>
      </w:r>
      <w:r w:rsidRPr="005B1480">
        <w:rPr>
          <w:rFonts w:asciiTheme="minorHAnsi" w:eastAsiaTheme="majorEastAsia" w:hAnsiTheme="minorHAnsi" w:cstheme="minorHAnsi"/>
          <w:i/>
          <w:iCs/>
          <w:sz w:val="22"/>
          <w:szCs w:val="22"/>
          <w:lang w:val="en-GB"/>
        </w:rPr>
        <w:t>Danger</w:t>
      </w:r>
      <w:r w:rsidRPr="005B1480">
        <w:rPr>
          <w:rFonts w:asciiTheme="minorHAnsi" w:eastAsiaTheme="majorEastAsia" w:hAnsiTheme="minorHAnsi" w:cstheme="minorHAnsi"/>
          <w:sz w:val="22"/>
          <w:szCs w:val="22"/>
          <w:lang w:val="en-GB"/>
        </w:rPr>
        <w:t xml:space="preserve">, corresponding to Sea State 5, and is directly linked to domestic and international operational restrictions. When wave height exceeds 4.0 m, it is categorized as </w:t>
      </w:r>
      <w:r w:rsidRPr="005B1480">
        <w:rPr>
          <w:rFonts w:asciiTheme="minorHAnsi" w:eastAsiaTheme="majorEastAsia" w:hAnsiTheme="minorHAnsi" w:cstheme="minorHAnsi"/>
          <w:i/>
          <w:iCs/>
          <w:sz w:val="22"/>
          <w:szCs w:val="22"/>
          <w:lang w:val="en-GB"/>
        </w:rPr>
        <w:t>Extreme Danger</w:t>
      </w:r>
      <w:r w:rsidRPr="005B1480">
        <w:rPr>
          <w:rFonts w:asciiTheme="minorHAnsi" w:eastAsiaTheme="majorEastAsia" w:hAnsiTheme="minorHAnsi" w:cstheme="minorHAnsi"/>
          <w:sz w:val="22"/>
          <w:szCs w:val="22"/>
          <w:lang w:val="en-GB"/>
        </w:rPr>
        <w:t>, consistent with marine leisure vessel guidelines and certain design criteria that define such conditions as unsuitable for safe navigation.</w:t>
      </w:r>
    </w:p>
    <w:p w14:paraId="5B9CD51E" w14:textId="3475F248" w:rsidR="004F4588" w:rsidRPr="004F4588" w:rsidRDefault="004F4588" w:rsidP="00555C59">
      <w:pPr>
        <w:pStyle w:val="NormalWeb"/>
        <w:rPr>
          <w:rFonts w:asciiTheme="minorHAnsi" w:eastAsia="Malgun Gothic" w:hAnsiTheme="minorHAnsi" w:cstheme="minorHAnsi"/>
          <w:noProof/>
          <w:color w:val="0000FF"/>
          <w:sz w:val="22"/>
          <w:szCs w:val="22"/>
          <w:lang w:val="en-GB"/>
        </w:rPr>
      </w:pPr>
      <w:r w:rsidRPr="004F4588">
        <w:rPr>
          <w:rFonts w:asciiTheme="minorHAnsi" w:eastAsia="Malgun Gothic" w:hAnsiTheme="minorHAnsi" w:cstheme="minorHAnsi"/>
          <w:noProof/>
          <w:color w:val="0000FF"/>
          <w:sz w:val="22"/>
          <w:szCs w:val="22"/>
          <w:lang w:val="en-GB"/>
        </w:rPr>
        <w:drawing>
          <wp:inline distT="0" distB="0" distL="0" distR="0" wp14:anchorId="2BDC889A" wp14:editId="46714A9F">
            <wp:extent cx="4549534" cy="2491956"/>
            <wp:effectExtent l="0" t="0" r="3810" b="3810"/>
            <wp:docPr id="1292069698"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069698" name=""/>
                    <pic:cNvPicPr/>
                  </pic:nvPicPr>
                  <pic:blipFill>
                    <a:blip r:embed="rId11"/>
                    <a:stretch>
                      <a:fillRect/>
                    </a:stretch>
                  </pic:blipFill>
                  <pic:spPr>
                    <a:xfrm>
                      <a:off x="0" y="0"/>
                      <a:ext cx="4549534" cy="2491956"/>
                    </a:xfrm>
                    <a:prstGeom prst="rect">
                      <a:avLst/>
                    </a:prstGeom>
                  </pic:spPr>
                </pic:pic>
              </a:graphicData>
            </a:graphic>
          </wp:inline>
        </w:drawing>
      </w:r>
    </w:p>
    <w:p w14:paraId="3130BF77" w14:textId="457F9735" w:rsidR="00EE41A4" w:rsidRPr="00575A60" w:rsidRDefault="00EE41A4" w:rsidP="00EE41A4">
      <w:pPr>
        <w:pStyle w:val="NormalWeb"/>
        <w:rPr>
          <w:rFonts w:asciiTheme="minorHAnsi" w:hAnsiTheme="minorHAnsi" w:cstheme="minorHAnsi"/>
          <w:sz w:val="22"/>
          <w:szCs w:val="22"/>
        </w:rPr>
      </w:pPr>
      <w:r w:rsidRPr="00575A60">
        <w:rPr>
          <w:rFonts w:asciiTheme="minorHAnsi" w:hAnsiTheme="minorHAnsi" w:cstheme="minorHAnsi"/>
          <w:sz w:val="22"/>
          <w:szCs w:val="22"/>
        </w:rPr>
        <w:t xml:space="preserve">This classification </w:t>
      </w:r>
      <w:r w:rsidR="00363C34">
        <w:rPr>
          <w:rFonts w:asciiTheme="minorHAnsi" w:hAnsiTheme="minorHAnsi" w:cstheme="minorHAnsi" w:hint="eastAsia"/>
          <w:sz w:val="22"/>
          <w:szCs w:val="22"/>
        </w:rPr>
        <w:t>is</w:t>
      </w:r>
      <w:r w:rsidRPr="00575A60">
        <w:rPr>
          <w:rFonts w:asciiTheme="minorHAnsi" w:hAnsiTheme="minorHAnsi" w:cstheme="minorHAnsi"/>
          <w:sz w:val="22"/>
          <w:szCs w:val="22"/>
        </w:rPr>
        <w:t xml:space="preserve"> not limited to a simple adoption of international standards but was also compared and adjusted against the wave height criteria used in existing domestic indices, such as the Ship Operation Index and the Harbor and Marine Safety Index. As a result, the wave height risk index of the MHFI has been designed to ensure both international validity and practical applicability to real navigation.</w:t>
      </w:r>
    </w:p>
    <w:p w14:paraId="5CC4EFCD" w14:textId="4400EB15" w:rsidR="00250BFD" w:rsidRDefault="00EC28BE" w:rsidP="00250BFD">
      <w:pPr>
        <w:pStyle w:val="Heading2"/>
        <w:rPr>
          <w:rFonts w:eastAsia="Malgun Gothic"/>
          <w:lang w:eastAsia="ko-KR"/>
        </w:rPr>
      </w:pPr>
      <w:r w:rsidRPr="00EC28BE">
        <w:rPr>
          <w:rFonts w:eastAsia="Malgun Gothic"/>
          <w:lang w:eastAsia="ko-KR"/>
        </w:rPr>
        <w:t>Swell Risk Index</w:t>
      </w:r>
    </w:p>
    <w:p w14:paraId="3D7421BE" w14:textId="26683D54" w:rsidR="00EC28BE" w:rsidRPr="00575A60" w:rsidRDefault="00EC28BE" w:rsidP="00EC28BE">
      <w:pPr>
        <w:pStyle w:val="NormalWeb"/>
        <w:rPr>
          <w:rFonts w:asciiTheme="minorHAnsi" w:hAnsiTheme="minorHAnsi" w:cstheme="minorHAnsi"/>
          <w:sz w:val="22"/>
          <w:szCs w:val="22"/>
        </w:rPr>
      </w:pPr>
      <w:r w:rsidRPr="00575A60">
        <w:rPr>
          <w:rFonts w:asciiTheme="minorHAnsi" w:hAnsiTheme="minorHAnsi" w:cstheme="minorHAnsi"/>
          <w:sz w:val="22"/>
          <w:szCs w:val="22"/>
        </w:rPr>
        <w:t>Swell is generally defined as conditions with a significant wave height exceeding 2 m and a wave period longer than 8 seconds. The swell risk index is classified according to wave period in order to quantitatively represent the risks posed by long-period waves to vessels and coastal activities. Analysis of accident data shows that even when the significant wave height is below 2 m, frequent casualties and property damage occur within the 4–8 second period range. In other words, low wave heights can still be hazardous when the period is long, indicating that wave period must be considered separately from wave height.</w:t>
      </w:r>
    </w:p>
    <w:p w14:paraId="2B3F54BC" w14:textId="3BF09C9A" w:rsidR="00EC28BE" w:rsidRPr="00EC28BE" w:rsidRDefault="00EC28BE" w:rsidP="00EC28BE">
      <w:pPr>
        <w:pStyle w:val="NormalWeb"/>
        <w:rPr>
          <w:rFonts w:asciiTheme="minorHAnsi" w:hAnsiTheme="minorHAnsi" w:cstheme="minorHAnsi"/>
          <w:sz w:val="22"/>
          <w:szCs w:val="22"/>
        </w:rPr>
      </w:pPr>
      <w:r w:rsidRPr="00EC28BE">
        <w:rPr>
          <w:rFonts w:asciiTheme="minorHAnsi" w:hAnsiTheme="minorHAnsi" w:cstheme="minorHAnsi"/>
          <w:sz w:val="22"/>
          <w:szCs w:val="22"/>
        </w:rPr>
        <w:t>Based on this</w:t>
      </w:r>
      <w:r w:rsidR="00363C34">
        <w:rPr>
          <w:rFonts w:asciiTheme="minorHAnsi" w:hAnsiTheme="minorHAnsi" w:cstheme="minorHAnsi" w:hint="eastAsia"/>
          <w:sz w:val="22"/>
          <w:szCs w:val="22"/>
        </w:rPr>
        <w:t xml:space="preserve"> analysis</w:t>
      </w:r>
      <w:r w:rsidRPr="00EC28BE">
        <w:rPr>
          <w:rFonts w:asciiTheme="minorHAnsi" w:hAnsiTheme="minorHAnsi" w:cstheme="minorHAnsi"/>
          <w:sz w:val="22"/>
          <w:szCs w:val="22"/>
        </w:rPr>
        <w:t xml:space="preserve">, the swell risk index is divided into five levels according to wave period (s). The </w:t>
      </w:r>
      <w:r w:rsidRPr="00EC28BE">
        <w:rPr>
          <w:rFonts w:asciiTheme="minorHAnsi" w:hAnsiTheme="minorHAnsi" w:cstheme="minorHAnsi"/>
          <w:i/>
          <w:iCs/>
          <w:sz w:val="22"/>
          <w:szCs w:val="22"/>
        </w:rPr>
        <w:t>Safe</w:t>
      </w:r>
      <w:r w:rsidRPr="00EC28BE">
        <w:rPr>
          <w:rFonts w:asciiTheme="minorHAnsi" w:hAnsiTheme="minorHAnsi" w:cstheme="minorHAnsi"/>
          <w:sz w:val="22"/>
          <w:szCs w:val="22"/>
        </w:rPr>
        <w:t xml:space="preserve"> level is defined as s &lt; 4.0, when the likelihood of swell occurrence is low and conditions are relatively safe. The </w:t>
      </w:r>
      <w:r w:rsidRPr="00EC28BE">
        <w:rPr>
          <w:rFonts w:asciiTheme="minorHAnsi" w:hAnsiTheme="minorHAnsi" w:cstheme="minorHAnsi"/>
          <w:i/>
          <w:iCs/>
          <w:sz w:val="22"/>
          <w:szCs w:val="22"/>
        </w:rPr>
        <w:t>Caution</w:t>
      </w:r>
      <w:r w:rsidRPr="00EC28BE">
        <w:rPr>
          <w:rFonts w:asciiTheme="minorHAnsi" w:hAnsiTheme="minorHAnsi" w:cstheme="minorHAnsi"/>
          <w:sz w:val="22"/>
          <w:szCs w:val="22"/>
        </w:rPr>
        <w:t xml:space="preserve"> level is 4.0 ≤ s &lt; 6.0, requiring attention as swell conditions may develop. The </w:t>
      </w:r>
      <w:r w:rsidRPr="00EC28BE">
        <w:rPr>
          <w:rFonts w:asciiTheme="minorHAnsi" w:hAnsiTheme="minorHAnsi" w:cstheme="minorHAnsi"/>
          <w:i/>
          <w:iCs/>
          <w:sz w:val="22"/>
          <w:szCs w:val="22"/>
        </w:rPr>
        <w:t>Warning</w:t>
      </w:r>
      <w:r w:rsidRPr="00EC28BE">
        <w:rPr>
          <w:rFonts w:asciiTheme="minorHAnsi" w:hAnsiTheme="minorHAnsi" w:cstheme="minorHAnsi"/>
          <w:sz w:val="22"/>
          <w:szCs w:val="22"/>
        </w:rPr>
        <w:t xml:space="preserve"> level is 6.0 ≤ s &lt; 8.0, where swell characteristics become more pronounced, necessitating caution for coastal operations and small vessel navigation. The </w:t>
      </w:r>
      <w:r w:rsidRPr="00EC28BE">
        <w:rPr>
          <w:rFonts w:asciiTheme="minorHAnsi" w:hAnsiTheme="minorHAnsi" w:cstheme="minorHAnsi"/>
          <w:i/>
          <w:iCs/>
          <w:sz w:val="22"/>
          <w:szCs w:val="22"/>
        </w:rPr>
        <w:t>Danger</w:t>
      </w:r>
      <w:r w:rsidRPr="00EC28BE">
        <w:rPr>
          <w:rFonts w:asciiTheme="minorHAnsi" w:hAnsiTheme="minorHAnsi" w:cstheme="minorHAnsi"/>
          <w:sz w:val="22"/>
          <w:szCs w:val="22"/>
        </w:rPr>
        <w:t xml:space="preserve"> level is 8.0 ≤ s ≤ 11.0, </w:t>
      </w:r>
      <w:r w:rsidR="00363C34">
        <w:rPr>
          <w:rFonts w:asciiTheme="minorHAnsi" w:hAnsiTheme="minorHAnsi" w:cstheme="minorHAnsi" w:hint="eastAsia"/>
          <w:sz w:val="22"/>
          <w:szCs w:val="22"/>
        </w:rPr>
        <w:t xml:space="preserve">which also </w:t>
      </w:r>
      <w:r w:rsidRPr="00EC28BE">
        <w:rPr>
          <w:rFonts w:asciiTheme="minorHAnsi" w:hAnsiTheme="minorHAnsi" w:cstheme="minorHAnsi"/>
          <w:sz w:val="22"/>
          <w:szCs w:val="22"/>
        </w:rPr>
        <w:t>correspond</w:t>
      </w:r>
      <w:r w:rsidR="00363C34">
        <w:rPr>
          <w:rFonts w:asciiTheme="minorHAnsi" w:hAnsiTheme="minorHAnsi" w:cstheme="minorHAnsi" w:hint="eastAsia"/>
          <w:sz w:val="22"/>
          <w:szCs w:val="22"/>
        </w:rPr>
        <w:t>s</w:t>
      </w:r>
      <w:r w:rsidRPr="00EC28BE">
        <w:rPr>
          <w:rFonts w:asciiTheme="minorHAnsi" w:hAnsiTheme="minorHAnsi" w:cstheme="minorHAnsi"/>
          <w:sz w:val="22"/>
          <w:szCs w:val="22"/>
        </w:rPr>
        <w:t xml:space="preserve"> to the conventional definition of swell, where navigational risk becomes significant. Finally, the </w:t>
      </w:r>
      <w:r w:rsidRPr="00EC28BE">
        <w:rPr>
          <w:rFonts w:asciiTheme="minorHAnsi" w:hAnsiTheme="minorHAnsi" w:cstheme="minorHAnsi"/>
          <w:i/>
          <w:iCs/>
          <w:sz w:val="22"/>
          <w:szCs w:val="22"/>
        </w:rPr>
        <w:t>Extreme Danger</w:t>
      </w:r>
      <w:r w:rsidRPr="00EC28BE">
        <w:rPr>
          <w:rFonts w:asciiTheme="minorHAnsi" w:hAnsiTheme="minorHAnsi" w:cstheme="minorHAnsi"/>
          <w:sz w:val="22"/>
          <w:szCs w:val="22"/>
        </w:rPr>
        <w:t xml:space="preserve"> level is s ≥ 11.0, which aligns with the highest risk classification used by public agencies in Korea, such as the Korea Meteorological Administration (KMA). This classification system was established by combining past accident analysis with official public standards.</w:t>
      </w:r>
    </w:p>
    <w:p w14:paraId="16699C45" w14:textId="2F0F8FAC" w:rsidR="005D57C6" w:rsidRPr="00555C59" w:rsidRDefault="004F4588" w:rsidP="00555C59">
      <w:pPr>
        <w:pStyle w:val="NormalWeb"/>
        <w:rPr>
          <w:sz w:val="20"/>
          <w:szCs w:val="20"/>
        </w:rPr>
      </w:pPr>
      <w:r w:rsidRPr="004F4588">
        <w:rPr>
          <w:noProof/>
          <w:sz w:val="20"/>
          <w:szCs w:val="20"/>
        </w:rPr>
        <w:drawing>
          <wp:inline distT="0" distB="0" distL="0" distR="0" wp14:anchorId="03077FFF" wp14:editId="51C60A31">
            <wp:extent cx="3170195" cy="2324301"/>
            <wp:effectExtent l="0" t="0" r="0" b="0"/>
            <wp:docPr id="80407383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73834" name=""/>
                    <pic:cNvPicPr/>
                  </pic:nvPicPr>
                  <pic:blipFill>
                    <a:blip r:embed="rId12"/>
                    <a:stretch>
                      <a:fillRect/>
                    </a:stretch>
                  </pic:blipFill>
                  <pic:spPr>
                    <a:xfrm>
                      <a:off x="0" y="0"/>
                      <a:ext cx="3170195" cy="2324301"/>
                    </a:xfrm>
                    <a:prstGeom prst="rect">
                      <a:avLst/>
                    </a:prstGeom>
                  </pic:spPr>
                </pic:pic>
              </a:graphicData>
            </a:graphic>
          </wp:inline>
        </w:drawing>
      </w:r>
    </w:p>
    <w:p w14:paraId="1F37337A" w14:textId="72E9C158" w:rsidR="00250BFD" w:rsidRDefault="00EC28BE" w:rsidP="00250BFD">
      <w:pPr>
        <w:pStyle w:val="Heading2"/>
        <w:rPr>
          <w:rFonts w:eastAsia="Malgun Gothic"/>
          <w:lang w:eastAsia="ko-KR"/>
        </w:rPr>
      </w:pPr>
      <w:r w:rsidRPr="00EC28BE">
        <w:rPr>
          <w:rFonts w:eastAsia="Malgun Gothic"/>
          <w:lang w:eastAsia="ko-KR"/>
        </w:rPr>
        <w:t>Current Risk Index</w:t>
      </w:r>
    </w:p>
    <w:p w14:paraId="2943BE41" w14:textId="19A54EDF" w:rsidR="00EC28BE" w:rsidRPr="00575A60" w:rsidRDefault="00EC28BE" w:rsidP="00EC28BE">
      <w:pPr>
        <w:pStyle w:val="NormalWeb"/>
        <w:rPr>
          <w:rFonts w:asciiTheme="minorHAnsi" w:hAnsiTheme="minorHAnsi" w:cstheme="minorHAnsi"/>
          <w:sz w:val="22"/>
          <w:szCs w:val="22"/>
        </w:rPr>
      </w:pPr>
      <w:r w:rsidRPr="00575A60">
        <w:rPr>
          <w:rFonts w:asciiTheme="minorHAnsi" w:hAnsiTheme="minorHAnsi" w:cstheme="minorHAnsi"/>
          <w:sz w:val="22"/>
          <w:szCs w:val="22"/>
        </w:rPr>
        <w:t xml:space="preserve">The current risk index is designed to quantify the impact of tidal and coastal currents on vessel navigation in ports and coastal areas. Currents are a major hazard arising from water flow and are </w:t>
      </w:r>
      <w:r w:rsidR="00363C34">
        <w:rPr>
          <w:rFonts w:asciiTheme="minorHAnsi" w:hAnsiTheme="minorHAnsi" w:cstheme="minorHAnsi" w:hint="eastAsia"/>
          <w:sz w:val="22"/>
          <w:szCs w:val="22"/>
        </w:rPr>
        <w:t>one of</w:t>
      </w:r>
      <w:r w:rsidRPr="00575A60">
        <w:rPr>
          <w:rFonts w:asciiTheme="minorHAnsi" w:hAnsiTheme="minorHAnsi" w:cstheme="minorHAnsi"/>
          <w:sz w:val="22"/>
          <w:szCs w:val="22"/>
        </w:rPr>
        <w:t xml:space="preserve"> the primary causes of grounding, route deviation, and collision. The index is divided into five levels based on current velocity. These thresholds were established with reference to HF-Radar ocean current data and operational regulations from straits such as </w:t>
      </w:r>
      <w:proofErr w:type="spellStart"/>
      <w:r w:rsidRPr="00575A60">
        <w:rPr>
          <w:rFonts w:asciiTheme="minorHAnsi" w:hAnsiTheme="minorHAnsi" w:cstheme="minorHAnsi"/>
          <w:sz w:val="22"/>
          <w:szCs w:val="22"/>
        </w:rPr>
        <w:t>Kurushima</w:t>
      </w:r>
      <w:proofErr w:type="spellEnd"/>
      <w:r w:rsidRPr="00575A60">
        <w:rPr>
          <w:rFonts w:asciiTheme="minorHAnsi" w:hAnsiTheme="minorHAnsi" w:cstheme="minorHAnsi"/>
          <w:sz w:val="22"/>
          <w:szCs w:val="22"/>
        </w:rPr>
        <w:t xml:space="preserve"> Strait and </w:t>
      </w:r>
      <w:proofErr w:type="spellStart"/>
      <w:r w:rsidRPr="00575A60">
        <w:rPr>
          <w:rFonts w:asciiTheme="minorHAnsi" w:hAnsiTheme="minorHAnsi" w:cstheme="minorHAnsi"/>
          <w:sz w:val="22"/>
          <w:szCs w:val="22"/>
        </w:rPr>
        <w:t>Kanmon</w:t>
      </w:r>
      <w:proofErr w:type="spellEnd"/>
      <w:r w:rsidRPr="00575A60">
        <w:rPr>
          <w:rFonts w:asciiTheme="minorHAnsi" w:hAnsiTheme="minorHAnsi" w:cstheme="minorHAnsi"/>
          <w:sz w:val="22"/>
          <w:szCs w:val="22"/>
        </w:rPr>
        <w:t xml:space="preserve"> Strait in Japan.</w:t>
      </w:r>
    </w:p>
    <w:p w14:paraId="706AC346" w14:textId="4ECD611F" w:rsidR="00555C59" w:rsidRPr="005B1480" w:rsidRDefault="00EC28BE" w:rsidP="00555C59">
      <w:pPr>
        <w:pStyle w:val="NormalWeb"/>
        <w:rPr>
          <w:rFonts w:asciiTheme="minorHAnsi" w:hAnsiTheme="minorHAnsi" w:cstheme="minorHAnsi"/>
          <w:sz w:val="22"/>
          <w:szCs w:val="22"/>
        </w:rPr>
      </w:pPr>
      <w:r w:rsidRPr="005B1480">
        <w:rPr>
          <w:rFonts w:asciiTheme="minorHAnsi" w:hAnsiTheme="minorHAnsi" w:cstheme="minorHAnsi"/>
          <w:sz w:val="22"/>
          <w:szCs w:val="22"/>
        </w:rPr>
        <w:t xml:space="preserve">The </w:t>
      </w:r>
      <w:r w:rsidRPr="005B1480">
        <w:rPr>
          <w:rFonts w:asciiTheme="minorHAnsi" w:hAnsiTheme="minorHAnsi" w:cstheme="minorHAnsi"/>
          <w:i/>
          <w:iCs/>
          <w:sz w:val="22"/>
          <w:szCs w:val="22"/>
        </w:rPr>
        <w:t>Safe</w:t>
      </w:r>
      <w:r w:rsidRPr="005B1480">
        <w:rPr>
          <w:rFonts w:asciiTheme="minorHAnsi" w:hAnsiTheme="minorHAnsi" w:cstheme="minorHAnsi"/>
          <w:sz w:val="22"/>
          <w:szCs w:val="22"/>
        </w:rPr>
        <w:t xml:space="preserve"> level is defined as a current velocity of 0.6 </w:t>
      </w:r>
      <w:proofErr w:type="spellStart"/>
      <w:r w:rsidRPr="005B1480">
        <w:rPr>
          <w:rFonts w:asciiTheme="minorHAnsi" w:hAnsiTheme="minorHAnsi" w:cstheme="minorHAnsi"/>
          <w:sz w:val="22"/>
          <w:szCs w:val="22"/>
        </w:rPr>
        <w:t>kn</w:t>
      </w:r>
      <w:proofErr w:type="spellEnd"/>
      <w:r w:rsidRPr="005B1480">
        <w:rPr>
          <w:rFonts w:asciiTheme="minorHAnsi" w:hAnsiTheme="minorHAnsi" w:cstheme="minorHAnsi"/>
          <w:sz w:val="22"/>
          <w:szCs w:val="22"/>
        </w:rPr>
        <w:t xml:space="preserve"> or less, under which vessels can generally maintain their course during port entry and departure without major difficulty. The </w:t>
      </w:r>
      <w:r w:rsidRPr="005B1480">
        <w:rPr>
          <w:rFonts w:asciiTheme="minorHAnsi" w:hAnsiTheme="minorHAnsi" w:cstheme="minorHAnsi"/>
          <w:i/>
          <w:iCs/>
          <w:sz w:val="22"/>
          <w:szCs w:val="22"/>
        </w:rPr>
        <w:t>Caution</w:t>
      </w:r>
      <w:r w:rsidRPr="005B1480">
        <w:rPr>
          <w:rFonts w:asciiTheme="minorHAnsi" w:hAnsiTheme="minorHAnsi" w:cstheme="minorHAnsi"/>
          <w:sz w:val="22"/>
          <w:szCs w:val="22"/>
        </w:rPr>
        <w:t xml:space="preserve"> level is 0.6–1.6 </w:t>
      </w:r>
      <w:proofErr w:type="spellStart"/>
      <w:r w:rsidRPr="005B1480">
        <w:rPr>
          <w:rFonts w:asciiTheme="minorHAnsi" w:hAnsiTheme="minorHAnsi" w:cstheme="minorHAnsi"/>
          <w:sz w:val="22"/>
          <w:szCs w:val="22"/>
        </w:rPr>
        <w:t>kn</w:t>
      </w:r>
      <w:proofErr w:type="spellEnd"/>
      <w:r w:rsidRPr="005B1480">
        <w:rPr>
          <w:rFonts w:asciiTheme="minorHAnsi" w:hAnsiTheme="minorHAnsi" w:cstheme="minorHAnsi"/>
          <w:sz w:val="22"/>
          <w:szCs w:val="22"/>
        </w:rPr>
        <w:t xml:space="preserve">, where the influence of the current increases and navigational caution is required. The </w:t>
      </w:r>
      <w:r w:rsidRPr="005B1480">
        <w:rPr>
          <w:rFonts w:asciiTheme="minorHAnsi" w:hAnsiTheme="minorHAnsi" w:cstheme="minorHAnsi"/>
          <w:i/>
          <w:iCs/>
          <w:sz w:val="22"/>
          <w:szCs w:val="22"/>
        </w:rPr>
        <w:t>Warning</w:t>
      </w:r>
      <w:r w:rsidRPr="005B1480">
        <w:rPr>
          <w:rFonts w:asciiTheme="minorHAnsi" w:hAnsiTheme="minorHAnsi" w:cstheme="minorHAnsi"/>
          <w:sz w:val="22"/>
          <w:szCs w:val="22"/>
        </w:rPr>
        <w:t xml:space="preserve"> level is 1.6–2.6 </w:t>
      </w:r>
      <w:proofErr w:type="spellStart"/>
      <w:r w:rsidRPr="005B1480">
        <w:rPr>
          <w:rFonts w:asciiTheme="minorHAnsi" w:hAnsiTheme="minorHAnsi" w:cstheme="minorHAnsi"/>
          <w:sz w:val="22"/>
          <w:szCs w:val="22"/>
        </w:rPr>
        <w:t>kn</w:t>
      </w:r>
      <w:proofErr w:type="spellEnd"/>
      <w:r w:rsidRPr="005B1480">
        <w:rPr>
          <w:rFonts w:asciiTheme="minorHAnsi" w:hAnsiTheme="minorHAnsi" w:cstheme="minorHAnsi"/>
          <w:sz w:val="22"/>
          <w:szCs w:val="22"/>
        </w:rPr>
        <w:t xml:space="preserve">, at which vessels may struggle to maintain course and the likelihood of drift increases. The </w:t>
      </w:r>
      <w:r w:rsidRPr="005B1480">
        <w:rPr>
          <w:rFonts w:asciiTheme="minorHAnsi" w:hAnsiTheme="minorHAnsi" w:cstheme="minorHAnsi"/>
          <w:i/>
          <w:iCs/>
          <w:sz w:val="22"/>
          <w:szCs w:val="22"/>
        </w:rPr>
        <w:t>Danger</w:t>
      </w:r>
      <w:r w:rsidRPr="005B1480">
        <w:rPr>
          <w:rFonts w:asciiTheme="minorHAnsi" w:hAnsiTheme="minorHAnsi" w:cstheme="minorHAnsi"/>
          <w:sz w:val="22"/>
          <w:szCs w:val="22"/>
        </w:rPr>
        <w:t xml:space="preserve"> level is 2.6–3.2 </w:t>
      </w:r>
      <w:proofErr w:type="spellStart"/>
      <w:r w:rsidRPr="005B1480">
        <w:rPr>
          <w:rFonts w:asciiTheme="minorHAnsi" w:hAnsiTheme="minorHAnsi" w:cstheme="minorHAnsi"/>
          <w:sz w:val="22"/>
          <w:szCs w:val="22"/>
        </w:rPr>
        <w:t>kn</w:t>
      </w:r>
      <w:proofErr w:type="spellEnd"/>
      <w:r w:rsidRPr="005B1480">
        <w:rPr>
          <w:rFonts w:asciiTheme="minorHAnsi" w:hAnsiTheme="minorHAnsi" w:cstheme="minorHAnsi"/>
          <w:sz w:val="22"/>
          <w:szCs w:val="22"/>
        </w:rPr>
        <w:t xml:space="preserve">, where the risk of collision with breakwaters, rocks, or other vessels </w:t>
      </w:r>
      <w:r w:rsidR="00363C34" w:rsidRPr="005B1480">
        <w:rPr>
          <w:rFonts w:asciiTheme="minorHAnsi" w:hAnsiTheme="minorHAnsi" w:cstheme="minorHAnsi" w:hint="eastAsia"/>
          <w:sz w:val="22"/>
          <w:szCs w:val="22"/>
        </w:rPr>
        <w:t>increases rapidly</w:t>
      </w:r>
      <w:r w:rsidRPr="005B1480">
        <w:rPr>
          <w:rFonts w:asciiTheme="minorHAnsi" w:hAnsiTheme="minorHAnsi" w:cstheme="minorHAnsi"/>
          <w:sz w:val="22"/>
          <w:szCs w:val="22"/>
        </w:rPr>
        <w:t xml:space="preserve">. Finally, the </w:t>
      </w:r>
      <w:r w:rsidRPr="005B1480">
        <w:rPr>
          <w:rFonts w:asciiTheme="minorHAnsi" w:hAnsiTheme="minorHAnsi" w:cstheme="minorHAnsi"/>
          <w:i/>
          <w:iCs/>
          <w:sz w:val="22"/>
          <w:szCs w:val="22"/>
        </w:rPr>
        <w:t>Extreme Danger</w:t>
      </w:r>
      <w:r w:rsidRPr="005B1480">
        <w:rPr>
          <w:rFonts w:asciiTheme="minorHAnsi" w:hAnsiTheme="minorHAnsi" w:cstheme="minorHAnsi"/>
          <w:sz w:val="22"/>
          <w:szCs w:val="22"/>
        </w:rPr>
        <w:t xml:space="preserve"> level is defined as currents above 3.2 </w:t>
      </w:r>
      <w:proofErr w:type="spellStart"/>
      <w:r w:rsidRPr="005B1480">
        <w:rPr>
          <w:rFonts w:asciiTheme="minorHAnsi" w:hAnsiTheme="minorHAnsi" w:cstheme="minorHAnsi"/>
          <w:sz w:val="22"/>
          <w:szCs w:val="22"/>
        </w:rPr>
        <w:t>kn</w:t>
      </w:r>
      <w:proofErr w:type="spellEnd"/>
      <w:r w:rsidRPr="005B1480">
        <w:rPr>
          <w:rFonts w:asciiTheme="minorHAnsi" w:hAnsiTheme="minorHAnsi" w:cstheme="minorHAnsi"/>
          <w:sz w:val="22"/>
          <w:szCs w:val="22"/>
        </w:rPr>
        <w:t xml:space="preserve"> combined with a difference between vessel speed and current speed of 4 </w:t>
      </w:r>
      <w:proofErr w:type="spellStart"/>
      <w:r w:rsidRPr="005B1480">
        <w:rPr>
          <w:rFonts w:asciiTheme="minorHAnsi" w:hAnsiTheme="minorHAnsi" w:cstheme="minorHAnsi"/>
          <w:sz w:val="22"/>
          <w:szCs w:val="22"/>
        </w:rPr>
        <w:t>kn</w:t>
      </w:r>
      <w:proofErr w:type="spellEnd"/>
      <w:r w:rsidRPr="005B1480">
        <w:rPr>
          <w:rFonts w:asciiTheme="minorHAnsi" w:hAnsiTheme="minorHAnsi" w:cstheme="minorHAnsi"/>
          <w:sz w:val="22"/>
          <w:szCs w:val="22"/>
        </w:rPr>
        <w:t xml:space="preserve"> or less. Under these conditions, the vessel’s propulsion is insufficient to overcome the current, making navigation virtually impossible and categorizing the situation as the highest level of risk.</w:t>
      </w:r>
    </w:p>
    <w:p w14:paraId="6E5530D4" w14:textId="656DEEE8" w:rsidR="005D57C6" w:rsidRPr="00555C59" w:rsidRDefault="004F4588" w:rsidP="00555C59">
      <w:pPr>
        <w:pStyle w:val="NormalWeb"/>
        <w:rPr>
          <w:sz w:val="20"/>
          <w:szCs w:val="20"/>
        </w:rPr>
      </w:pPr>
      <w:r w:rsidRPr="004F4588">
        <w:rPr>
          <w:noProof/>
          <w:sz w:val="20"/>
          <w:szCs w:val="20"/>
        </w:rPr>
        <w:drawing>
          <wp:inline distT="0" distB="0" distL="0" distR="0" wp14:anchorId="45733158" wp14:editId="6F38C87E">
            <wp:extent cx="4496190" cy="1089754"/>
            <wp:effectExtent l="0" t="0" r="0" b="0"/>
            <wp:docPr id="202841590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415904" name=""/>
                    <pic:cNvPicPr/>
                  </pic:nvPicPr>
                  <pic:blipFill>
                    <a:blip r:embed="rId13"/>
                    <a:stretch>
                      <a:fillRect/>
                    </a:stretch>
                  </pic:blipFill>
                  <pic:spPr>
                    <a:xfrm>
                      <a:off x="0" y="0"/>
                      <a:ext cx="4496190" cy="1089754"/>
                    </a:xfrm>
                    <a:prstGeom prst="rect">
                      <a:avLst/>
                    </a:prstGeom>
                  </pic:spPr>
                </pic:pic>
              </a:graphicData>
            </a:graphic>
          </wp:inline>
        </w:drawing>
      </w:r>
    </w:p>
    <w:p w14:paraId="02A92460" w14:textId="01F26448" w:rsidR="00250BFD" w:rsidRDefault="00EC28BE" w:rsidP="00250BFD">
      <w:pPr>
        <w:pStyle w:val="Heading2"/>
        <w:rPr>
          <w:rFonts w:eastAsia="Malgun Gothic"/>
          <w:lang w:eastAsia="ko-KR"/>
        </w:rPr>
      </w:pPr>
      <w:r w:rsidRPr="00EC28BE">
        <w:rPr>
          <w:rFonts w:eastAsia="Malgun Gothic"/>
          <w:lang w:eastAsia="ko-KR"/>
        </w:rPr>
        <w:t>Wind Speed Risk Index</w:t>
      </w:r>
    </w:p>
    <w:p w14:paraId="7096CD9A" w14:textId="3813CDEF" w:rsidR="00EC28BE" w:rsidRPr="00575A60" w:rsidRDefault="00EC28BE" w:rsidP="00EC28BE">
      <w:pPr>
        <w:pStyle w:val="NormalWeb"/>
        <w:rPr>
          <w:rFonts w:asciiTheme="minorHAnsi" w:hAnsiTheme="minorHAnsi" w:cstheme="minorHAnsi"/>
          <w:sz w:val="22"/>
          <w:szCs w:val="22"/>
        </w:rPr>
      </w:pPr>
      <w:r w:rsidRPr="00575A60">
        <w:rPr>
          <w:rFonts w:asciiTheme="minorHAnsi" w:hAnsiTheme="minorHAnsi" w:cstheme="minorHAnsi"/>
          <w:sz w:val="22"/>
          <w:szCs w:val="22"/>
        </w:rPr>
        <w:t>The wind speed risk index is designed to quantitatively represent the effect of wind on vessel operations at sea. Wind directly affects vessel maneuverability, course keeping, and port entry or departure, and under crosswind conditions</w:t>
      </w:r>
      <w:r w:rsidR="00363C34">
        <w:rPr>
          <w:rFonts w:asciiTheme="minorHAnsi" w:hAnsiTheme="minorHAnsi" w:cstheme="minorHAnsi" w:hint="eastAsia"/>
          <w:sz w:val="22"/>
          <w:szCs w:val="22"/>
        </w:rPr>
        <w:t>,</w:t>
      </w:r>
      <w:r w:rsidRPr="00575A60">
        <w:rPr>
          <w:rFonts w:asciiTheme="minorHAnsi" w:hAnsiTheme="minorHAnsi" w:cstheme="minorHAnsi"/>
          <w:sz w:val="22"/>
          <w:szCs w:val="22"/>
        </w:rPr>
        <w:t xml:space="preserve"> it can cause severe rolling or make steering difficult. As wind strength increases, the lateral force on the vessel’s hull also increases, leading to greater drift and consequently raising the risk of route deviation and collision.</w:t>
      </w:r>
    </w:p>
    <w:p w14:paraId="645A8DAC" w14:textId="083E8A08" w:rsidR="00EC28BE" w:rsidRPr="005B1480" w:rsidRDefault="00EC28BE" w:rsidP="00EC28BE">
      <w:pPr>
        <w:pStyle w:val="NormalWeb"/>
        <w:rPr>
          <w:rFonts w:asciiTheme="minorHAnsi" w:hAnsiTheme="minorHAnsi" w:cstheme="minorHAnsi"/>
          <w:sz w:val="22"/>
          <w:szCs w:val="22"/>
        </w:rPr>
      </w:pPr>
      <w:r w:rsidRPr="00EC28BE">
        <w:rPr>
          <w:rFonts w:asciiTheme="minorHAnsi" w:hAnsiTheme="minorHAnsi" w:cstheme="minorHAnsi"/>
          <w:sz w:val="22"/>
          <w:szCs w:val="22"/>
        </w:rPr>
        <w:t xml:space="preserve">The </w:t>
      </w:r>
      <w:r w:rsidRPr="005B1480">
        <w:rPr>
          <w:rFonts w:asciiTheme="minorHAnsi" w:hAnsiTheme="minorHAnsi" w:cstheme="minorHAnsi"/>
          <w:sz w:val="22"/>
          <w:szCs w:val="22"/>
        </w:rPr>
        <w:t xml:space="preserve">index is divided into five levels based on the Beaufort scale and domestic navigation standards. The </w:t>
      </w:r>
      <w:r w:rsidRPr="005B1480">
        <w:rPr>
          <w:rFonts w:asciiTheme="minorHAnsi" w:hAnsiTheme="minorHAnsi" w:cstheme="minorHAnsi"/>
          <w:i/>
          <w:iCs/>
          <w:sz w:val="22"/>
          <w:szCs w:val="22"/>
        </w:rPr>
        <w:t>Safe</w:t>
      </w:r>
      <w:r w:rsidRPr="005B1480">
        <w:rPr>
          <w:rFonts w:asciiTheme="minorHAnsi" w:hAnsiTheme="minorHAnsi" w:cstheme="minorHAnsi"/>
          <w:sz w:val="22"/>
          <w:szCs w:val="22"/>
        </w:rPr>
        <w:t xml:space="preserve"> level is 5.5 m/s or less (Beaufort 3), under which normal maritime operations face minimal restrictions. The </w:t>
      </w:r>
      <w:r w:rsidRPr="005B1480">
        <w:rPr>
          <w:rFonts w:asciiTheme="minorHAnsi" w:hAnsiTheme="minorHAnsi" w:cstheme="minorHAnsi"/>
          <w:i/>
          <w:iCs/>
          <w:sz w:val="22"/>
          <w:szCs w:val="22"/>
        </w:rPr>
        <w:t>Caution</w:t>
      </w:r>
      <w:r w:rsidRPr="005B1480">
        <w:rPr>
          <w:rFonts w:asciiTheme="minorHAnsi" w:hAnsiTheme="minorHAnsi" w:cstheme="minorHAnsi"/>
          <w:sz w:val="22"/>
          <w:szCs w:val="22"/>
        </w:rPr>
        <w:t xml:space="preserve"> level is 5.5–10.7 m/s (Beaufort 4–5), where small vessels require attention due to reduced stability. The </w:t>
      </w:r>
      <w:r w:rsidRPr="005B1480">
        <w:rPr>
          <w:rFonts w:asciiTheme="minorHAnsi" w:hAnsiTheme="minorHAnsi" w:cstheme="minorHAnsi"/>
          <w:i/>
          <w:iCs/>
          <w:sz w:val="22"/>
          <w:szCs w:val="22"/>
        </w:rPr>
        <w:t>Warning</w:t>
      </w:r>
      <w:r w:rsidRPr="005B1480">
        <w:rPr>
          <w:rFonts w:asciiTheme="minorHAnsi" w:hAnsiTheme="minorHAnsi" w:cstheme="minorHAnsi"/>
          <w:sz w:val="22"/>
          <w:szCs w:val="22"/>
        </w:rPr>
        <w:t xml:space="preserve"> level is 10.8–13.8 m/s (Beaufort 6), </w:t>
      </w:r>
      <w:r w:rsidR="00363C34" w:rsidRPr="005B1480">
        <w:rPr>
          <w:rFonts w:asciiTheme="minorHAnsi" w:hAnsiTheme="minorHAnsi" w:cstheme="minorHAnsi" w:hint="eastAsia"/>
          <w:sz w:val="22"/>
          <w:szCs w:val="22"/>
        </w:rPr>
        <w:t>where</w:t>
      </w:r>
      <w:r w:rsidRPr="005B1480">
        <w:rPr>
          <w:rFonts w:asciiTheme="minorHAnsi" w:hAnsiTheme="minorHAnsi" w:cstheme="minorHAnsi"/>
          <w:sz w:val="22"/>
          <w:szCs w:val="22"/>
        </w:rPr>
        <w:t xml:space="preserve"> strong winds </w:t>
      </w:r>
      <w:r w:rsidR="00363C34" w:rsidRPr="005B1480">
        <w:rPr>
          <w:rFonts w:asciiTheme="minorHAnsi" w:hAnsiTheme="minorHAnsi" w:cstheme="minorHAnsi" w:hint="eastAsia"/>
          <w:sz w:val="22"/>
          <w:szCs w:val="22"/>
        </w:rPr>
        <w:t xml:space="preserve">may </w:t>
      </w:r>
      <w:r w:rsidRPr="005B1480">
        <w:rPr>
          <w:rFonts w:asciiTheme="minorHAnsi" w:hAnsiTheme="minorHAnsi" w:cstheme="minorHAnsi"/>
          <w:sz w:val="22"/>
          <w:szCs w:val="22"/>
        </w:rPr>
        <w:t xml:space="preserve">cause significant vessel motion and reduce navigational safety. The </w:t>
      </w:r>
      <w:r w:rsidRPr="005B1480">
        <w:rPr>
          <w:rFonts w:asciiTheme="minorHAnsi" w:hAnsiTheme="minorHAnsi" w:cstheme="minorHAnsi"/>
          <w:i/>
          <w:iCs/>
          <w:sz w:val="22"/>
          <w:szCs w:val="22"/>
        </w:rPr>
        <w:t>Danger</w:t>
      </w:r>
      <w:r w:rsidRPr="005B1480">
        <w:rPr>
          <w:rFonts w:asciiTheme="minorHAnsi" w:hAnsiTheme="minorHAnsi" w:cstheme="minorHAnsi"/>
          <w:sz w:val="22"/>
          <w:szCs w:val="22"/>
        </w:rPr>
        <w:t xml:space="preserve"> level is 13.9–17.1 m/s (Beaufort 7), which also corresponds to the </w:t>
      </w:r>
      <w:r w:rsidR="00363C34" w:rsidRPr="005B1480">
        <w:rPr>
          <w:rFonts w:asciiTheme="minorHAnsi" w:hAnsiTheme="minorHAnsi" w:cstheme="minorHAnsi"/>
          <w:sz w:val="22"/>
          <w:szCs w:val="22"/>
        </w:rPr>
        <w:t xml:space="preserve">criteria for issuing </w:t>
      </w:r>
      <w:r w:rsidRPr="005B1480">
        <w:rPr>
          <w:rFonts w:asciiTheme="minorHAnsi" w:hAnsiTheme="minorHAnsi" w:cstheme="minorHAnsi"/>
          <w:sz w:val="22"/>
          <w:szCs w:val="22"/>
        </w:rPr>
        <w:t xml:space="preserve">a domestic strong wind advisory and makes port entry and departure difficult. The </w:t>
      </w:r>
      <w:r w:rsidRPr="005B1480">
        <w:rPr>
          <w:rFonts w:asciiTheme="minorHAnsi" w:hAnsiTheme="minorHAnsi" w:cstheme="minorHAnsi"/>
          <w:i/>
          <w:iCs/>
          <w:sz w:val="22"/>
          <w:szCs w:val="22"/>
        </w:rPr>
        <w:t>Extreme Danger</w:t>
      </w:r>
      <w:r w:rsidRPr="005B1480">
        <w:rPr>
          <w:rFonts w:asciiTheme="minorHAnsi" w:hAnsiTheme="minorHAnsi" w:cstheme="minorHAnsi"/>
          <w:sz w:val="22"/>
          <w:szCs w:val="22"/>
        </w:rPr>
        <w:t xml:space="preserve"> level is 17.2 m/s or more (Beaufort 8 or higher), equivalent to typhoon or near-typhoon conditions, under which virtually all vessel operations are suspended.</w:t>
      </w:r>
    </w:p>
    <w:p w14:paraId="048F7BB1" w14:textId="7366CBD8" w:rsidR="00555C59" w:rsidRPr="00575A60" w:rsidRDefault="00EC28BE" w:rsidP="00EC28BE">
      <w:pPr>
        <w:pStyle w:val="NormalWeb"/>
        <w:rPr>
          <w:rFonts w:asciiTheme="minorHAnsi" w:hAnsiTheme="minorHAnsi" w:cstheme="minorHAnsi"/>
          <w:sz w:val="22"/>
          <w:szCs w:val="22"/>
        </w:rPr>
      </w:pPr>
      <w:r w:rsidRPr="005B1480">
        <w:rPr>
          <w:rFonts w:asciiTheme="minorHAnsi" w:hAnsiTheme="minorHAnsi" w:cstheme="minorHAnsi"/>
          <w:sz w:val="22"/>
          <w:szCs w:val="22"/>
        </w:rPr>
        <w:t>In addition to the general vessel criteria, stricter thresholds are applied for small vessels. For example, small vessels are considered at risk starting around 7 m/s, and when wind speed exceeds 14 m/s, navigation becomes impossible. These stricter levels reflect the limited stability and propulsion power of small vessels. The wind speed risk index is therefore established by combining the international Beaufort</w:t>
      </w:r>
      <w:r w:rsidRPr="00EC28BE">
        <w:rPr>
          <w:rFonts w:asciiTheme="minorHAnsi" w:hAnsiTheme="minorHAnsi" w:cstheme="minorHAnsi"/>
          <w:sz w:val="22"/>
          <w:szCs w:val="22"/>
        </w:rPr>
        <w:t xml:space="preserve"> scale with the Korean Ship Operation Index, ensuring both global applicability and close alignment with domestic navigation safety regulations.</w:t>
      </w:r>
    </w:p>
    <w:p w14:paraId="359E3F74" w14:textId="62AA43DE" w:rsidR="005D57C6" w:rsidRDefault="00C46CA1" w:rsidP="00555C59">
      <w:pPr>
        <w:pStyle w:val="NormalWeb"/>
        <w:rPr>
          <w:sz w:val="20"/>
          <w:szCs w:val="20"/>
        </w:rPr>
      </w:pPr>
      <w:r w:rsidRPr="00C46CA1">
        <w:rPr>
          <w:noProof/>
          <w:sz w:val="20"/>
          <w:szCs w:val="20"/>
        </w:rPr>
        <w:drawing>
          <wp:inline distT="0" distB="0" distL="0" distR="0" wp14:anchorId="38FA951C" wp14:editId="00371783">
            <wp:extent cx="4953429" cy="2834886"/>
            <wp:effectExtent l="0" t="0" r="0" b="3810"/>
            <wp:docPr id="181521590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215904" name=""/>
                    <pic:cNvPicPr/>
                  </pic:nvPicPr>
                  <pic:blipFill>
                    <a:blip r:embed="rId14"/>
                    <a:stretch>
                      <a:fillRect/>
                    </a:stretch>
                  </pic:blipFill>
                  <pic:spPr>
                    <a:xfrm>
                      <a:off x="0" y="0"/>
                      <a:ext cx="4953429" cy="2834886"/>
                    </a:xfrm>
                    <a:prstGeom prst="rect">
                      <a:avLst/>
                    </a:prstGeom>
                  </pic:spPr>
                </pic:pic>
              </a:graphicData>
            </a:graphic>
          </wp:inline>
        </w:drawing>
      </w:r>
    </w:p>
    <w:p w14:paraId="00AEFC6F" w14:textId="668E5444" w:rsidR="00250BFD" w:rsidRDefault="00EC28BE" w:rsidP="00250BFD">
      <w:pPr>
        <w:pStyle w:val="Heading2"/>
        <w:rPr>
          <w:rFonts w:eastAsia="Malgun Gothic"/>
          <w:lang w:eastAsia="ko-KR"/>
        </w:rPr>
      </w:pPr>
      <w:r w:rsidRPr="00EC28BE">
        <w:rPr>
          <w:rFonts w:eastAsia="Malgun Gothic"/>
          <w:lang w:eastAsia="ko-KR"/>
        </w:rPr>
        <w:t>Visibility Risk Index</w:t>
      </w:r>
    </w:p>
    <w:p w14:paraId="2703C650" w14:textId="34575509" w:rsidR="00EC28BE" w:rsidRPr="005B1480" w:rsidRDefault="00EC28BE" w:rsidP="00EC28BE">
      <w:pPr>
        <w:pStyle w:val="NormalWeb"/>
        <w:rPr>
          <w:rFonts w:asciiTheme="minorHAnsi" w:hAnsiTheme="minorHAnsi" w:cstheme="minorHAnsi"/>
          <w:sz w:val="22"/>
          <w:szCs w:val="22"/>
        </w:rPr>
      </w:pPr>
      <w:r w:rsidRPr="00575A60">
        <w:rPr>
          <w:rFonts w:asciiTheme="minorHAnsi" w:hAnsiTheme="minorHAnsi" w:cstheme="minorHAnsi"/>
          <w:sz w:val="22"/>
          <w:szCs w:val="22"/>
        </w:rPr>
        <w:t xml:space="preserve">The visibility risk index is established to quantitatively assess the risks of collisions and groundings that occur when visibility deteriorates at sea. Reduced visibility prevents vessels from avoiding collisions, makes it difficult to maintain course, and severely </w:t>
      </w:r>
      <w:r w:rsidR="00363C34">
        <w:rPr>
          <w:rFonts w:asciiTheme="minorHAnsi" w:hAnsiTheme="minorHAnsi" w:cstheme="minorHAnsi" w:hint="eastAsia"/>
          <w:sz w:val="22"/>
          <w:szCs w:val="22"/>
        </w:rPr>
        <w:t>impacts</w:t>
      </w:r>
      <w:r w:rsidRPr="00575A60">
        <w:rPr>
          <w:rFonts w:asciiTheme="minorHAnsi" w:hAnsiTheme="minorHAnsi" w:cstheme="minorHAnsi"/>
          <w:sz w:val="22"/>
          <w:szCs w:val="22"/>
        </w:rPr>
        <w:t xml:space="preserve"> safety during port entry and departure. Visibility restriction is considered a </w:t>
      </w:r>
      <w:r w:rsidRPr="005B1480">
        <w:rPr>
          <w:rFonts w:asciiTheme="minorHAnsi" w:hAnsiTheme="minorHAnsi" w:cstheme="minorHAnsi"/>
          <w:sz w:val="22"/>
          <w:szCs w:val="22"/>
        </w:rPr>
        <w:t xml:space="preserve">critical factor that can lead to accidents, even more </w:t>
      </w:r>
      <w:r w:rsidR="00363C34" w:rsidRPr="005B1480">
        <w:rPr>
          <w:rFonts w:asciiTheme="minorHAnsi" w:hAnsiTheme="minorHAnsi" w:cstheme="minorHAnsi" w:hint="eastAsia"/>
          <w:sz w:val="22"/>
          <w:szCs w:val="22"/>
        </w:rPr>
        <w:t xml:space="preserve">directly </w:t>
      </w:r>
      <w:r w:rsidRPr="005B1480">
        <w:rPr>
          <w:rFonts w:asciiTheme="minorHAnsi" w:hAnsiTheme="minorHAnsi" w:cstheme="minorHAnsi"/>
          <w:sz w:val="22"/>
          <w:szCs w:val="22"/>
        </w:rPr>
        <w:t>than traffic congestion or adverse weather</w:t>
      </w:r>
      <w:r w:rsidR="00363C34" w:rsidRPr="005B1480">
        <w:rPr>
          <w:rFonts w:asciiTheme="minorHAnsi" w:hAnsiTheme="minorHAnsi" w:cstheme="minorHAnsi" w:hint="eastAsia"/>
          <w:sz w:val="22"/>
          <w:szCs w:val="22"/>
        </w:rPr>
        <w:t xml:space="preserve"> conditions</w:t>
      </w:r>
      <w:r w:rsidRPr="005B1480">
        <w:rPr>
          <w:rFonts w:asciiTheme="minorHAnsi" w:hAnsiTheme="minorHAnsi" w:cstheme="minorHAnsi"/>
          <w:sz w:val="22"/>
          <w:szCs w:val="22"/>
        </w:rPr>
        <w:t>.</w:t>
      </w:r>
    </w:p>
    <w:p w14:paraId="56DBA668" w14:textId="439A4C38" w:rsidR="00EC28BE" w:rsidRPr="005B1480" w:rsidRDefault="00EC28BE" w:rsidP="00EC28BE">
      <w:pPr>
        <w:pStyle w:val="NormalWeb"/>
        <w:rPr>
          <w:rFonts w:asciiTheme="minorHAnsi" w:hAnsiTheme="minorHAnsi" w:cstheme="minorHAnsi"/>
          <w:sz w:val="22"/>
          <w:szCs w:val="22"/>
        </w:rPr>
      </w:pPr>
      <w:r w:rsidRPr="005B1480">
        <w:rPr>
          <w:rFonts w:asciiTheme="minorHAnsi" w:hAnsiTheme="minorHAnsi" w:cstheme="minorHAnsi"/>
          <w:sz w:val="22"/>
          <w:szCs w:val="22"/>
        </w:rPr>
        <w:t xml:space="preserve">The index is divided into five levels based on visibility range. The </w:t>
      </w:r>
      <w:r w:rsidRPr="005B1480">
        <w:rPr>
          <w:rFonts w:asciiTheme="minorHAnsi" w:hAnsiTheme="minorHAnsi" w:cstheme="minorHAnsi"/>
          <w:i/>
          <w:iCs/>
          <w:sz w:val="22"/>
          <w:szCs w:val="22"/>
        </w:rPr>
        <w:t>Safe</w:t>
      </w:r>
      <w:r w:rsidRPr="005B1480">
        <w:rPr>
          <w:rFonts w:asciiTheme="minorHAnsi" w:hAnsiTheme="minorHAnsi" w:cstheme="minorHAnsi"/>
          <w:sz w:val="22"/>
          <w:szCs w:val="22"/>
        </w:rPr>
        <w:t xml:space="preserve"> level is greater than 11.1 km (≥ 6 NM), where most vessels can clearly identify other ships and navigation aids. The </w:t>
      </w:r>
      <w:r w:rsidRPr="005B1480">
        <w:rPr>
          <w:rFonts w:asciiTheme="minorHAnsi" w:hAnsiTheme="minorHAnsi" w:cstheme="minorHAnsi"/>
          <w:i/>
          <w:iCs/>
          <w:sz w:val="22"/>
          <w:szCs w:val="22"/>
        </w:rPr>
        <w:t>Caution</w:t>
      </w:r>
      <w:r w:rsidRPr="005B1480">
        <w:rPr>
          <w:rFonts w:asciiTheme="minorHAnsi" w:hAnsiTheme="minorHAnsi" w:cstheme="minorHAnsi"/>
          <w:sz w:val="22"/>
          <w:szCs w:val="22"/>
        </w:rPr>
        <w:t xml:space="preserve"> level is 11.1–5.5 km (6–3 NM), when mast lights of vessels 50 m or longer become difficult to distinguish. The </w:t>
      </w:r>
      <w:r w:rsidRPr="005B1480">
        <w:rPr>
          <w:rFonts w:asciiTheme="minorHAnsi" w:hAnsiTheme="minorHAnsi" w:cstheme="minorHAnsi"/>
          <w:i/>
          <w:iCs/>
          <w:sz w:val="22"/>
          <w:szCs w:val="22"/>
        </w:rPr>
        <w:t>Warning</w:t>
      </w:r>
      <w:r w:rsidRPr="005B1480">
        <w:rPr>
          <w:rFonts w:asciiTheme="minorHAnsi" w:hAnsiTheme="minorHAnsi" w:cstheme="minorHAnsi"/>
          <w:sz w:val="22"/>
          <w:szCs w:val="22"/>
        </w:rPr>
        <w:t xml:space="preserve"> level is 5.5–1.85 km (3–1 NM), where vessels must rely on fog signals and other aids, and collision risk increases. The </w:t>
      </w:r>
      <w:r w:rsidRPr="005B1480">
        <w:rPr>
          <w:rFonts w:asciiTheme="minorHAnsi" w:hAnsiTheme="minorHAnsi" w:cstheme="minorHAnsi"/>
          <w:i/>
          <w:iCs/>
          <w:sz w:val="22"/>
          <w:szCs w:val="22"/>
        </w:rPr>
        <w:t>Danger</w:t>
      </w:r>
      <w:r w:rsidRPr="005B1480">
        <w:rPr>
          <w:rFonts w:asciiTheme="minorHAnsi" w:hAnsiTheme="minorHAnsi" w:cstheme="minorHAnsi"/>
          <w:sz w:val="22"/>
          <w:szCs w:val="22"/>
        </w:rPr>
        <w:t xml:space="preserve"> level is 1.85–1 km, which corresponds to the minimum requirements for pilotage and may restrict port entry or departure. The </w:t>
      </w:r>
      <w:r w:rsidRPr="005B1480">
        <w:rPr>
          <w:rFonts w:asciiTheme="minorHAnsi" w:hAnsiTheme="minorHAnsi" w:cstheme="minorHAnsi"/>
          <w:i/>
          <w:iCs/>
          <w:sz w:val="22"/>
          <w:szCs w:val="22"/>
        </w:rPr>
        <w:t>Extreme Danger</w:t>
      </w:r>
      <w:r w:rsidRPr="005B1480">
        <w:rPr>
          <w:rFonts w:asciiTheme="minorHAnsi" w:hAnsiTheme="minorHAnsi" w:cstheme="minorHAnsi"/>
          <w:sz w:val="22"/>
          <w:szCs w:val="22"/>
        </w:rPr>
        <w:t xml:space="preserve"> level is less than 1 km, which is also defined</w:t>
      </w:r>
      <w:r w:rsidR="00363C34" w:rsidRPr="005B1480">
        <w:t xml:space="preserve"> </w:t>
      </w:r>
      <w:r w:rsidR="00363C34" w:rsidRPr="005B1480">
        <w:rPr>
          <w:rFonts w:asciiTheme="minorHAnsi" w:hAnsiTheme="minorHAnsi" w:cstheme="minorHAnsi"/>
          <w:sz w:val="22"/>
          <w:szCs w:val="22"/>
        </w:rPr>
        <w:t>as a condition prohibiting passenger vessel operations</w:t>
      </w:r>
      <w:r w:rsidRPr="005B1480">
        <w:rPr>
          <w:rFonts w:asciiTheme="minorHAnsi" w:hAnsiTheme="minorHAnsi" w:cstheme="minorHAnsi"/>
          <w:sz w:val="22"/>
          <w:szCs w:val="22"/>
        </w:rPr>
        <w:t xml:space="preserve"> under the Korean Maritime Safety Act and operational regulations </w:t>
      </w:r>
      <w:r w:rsidR="00363C34" w:rsidRPr="005B1480">
        <w:rPr>
          <w:rFonts w:asciiTheme="minorHAnsi" w:hAnsiTheme="minorHAnsi" w:cstheme="minorHAnsi"/>
          <w:sz w:val="22"/>
          <w:szCs w:val="22"/>
        </w:rPr>
        <w:t xml:space="preserve">signifying a state where </w:t>
      </w:r>
      <w:r w:rsidRPr="005B1480">
        <w:rPr>
          <w:rFonts w:asciiTheme="minorHAnsi" w:hAnsiTheme="minorHAnsi" w:cstheme="minorHAnsi"/>
          <w:sz w:val="22"/>
          <w:szCs w:val="22"/>
        </w:rPr>
        <w:t xml:space="preserve">safe navigation </w:t>
      </w:r>
      <w:r w:rsidR="00363C34" w:rsidRPr="005B1480">
        <w:rPr>
          <w:rFonts w:asciiTheme="minorHAnsi" w:hAnsiTheme="minorHAnsi" w:cstheme="minorHAnsi" w:hint="eastAsia"/>
          <w:sz w:val="22"/>
          <w:szCs w:val="22"/>
        </w:rPr>
        <w:t xml:space="preserve">is </w:t>
      </w:r>
      <w:r w:rsidRPr="005B1480">
        <w:rPr>
          <w:rFonts w:asciiTheme="minorHAnsi" w:hAnsiTheme="minorHAnsi" w:cstheme="minorHAnsi"/>
          <w:sz w:val="22"/>
          <w:szCs w:val="22"/>
        </w:rPr>
        <w:t>virtually impossible.</w:t>
      </w:r>
    </w:p>
    <w:p w14:paraId="438BB83A" w14:textId="77777777" w:rsidR="00EC28BE" w:rsidRPr="00EC28BE" w:rsidRDefault="00EC28BE" w:rsidP="00EC28BE">
      <w:pPr>
        <w:pStyle w:val="NormalWeb"/>
        <w:rPr>
          <w:rFonts w:asciiTheme="minorHAnsi" w:hAnsiTheme="minorHAnsi" w:cstheme="minorHAnsi"/>
          <w:sz w:val="22"/>
          <w:szCs w:val="22"/>
        </w:rPr>
      </w:pPr>
      <w:r w:rsidRPr="005B1480">
        <w:rPr>
          <w:rFonts w:asciiTheme="minorHAnsi" w:hAnsiTheme="minorHAnsi" w:cstheme="minorHAnsi"/>
          <w:sz w:val="22"/>
          <w:szCs w:val="22"/>
        </w:rPr>
        <w:t>This classification system was established by combining the International</w:t>
      </w:r>
      <w:r w:rsidRPr="00EC28BE">
        <w:rPr>
          <w:rFonts w:asciiTheme="minorHAnsi" w:hAnsiTheme="minorHAnsi" w:cstheme="minorHAnsi"/>
          <w:sz w:val="22"/>
          <w:szCs w:val="22"/>
        </w:rPr>
        <w:t xml:space="preserve"> Regulations for Preventing Collisions at Sea (COLREGs), the Korean Maritime Safety Act, and actual port operation regulations. As such, the visibility risk index is directly connected not only to meteorological conditions but also to legal and regulatory navigation limits.</w:t>
      </w:r>
    </w:p>
    <w:p w14:paraId="39DE3181" w14:textId="6DC08ABB" w:rsidR="00555C59" w:rsidRPr="00555C59" w:rsidRDefault="00C46CA1" w:rsidP="00555C59">
      <w:pPr>
        <w:pStyle w:val="NormalWeb"/>
        <w:rPr>
          <w:sz w:val="20"/>
          <w:szCs w:val="20"/>
        </w:rPr>
      </w:pPr>
      <w:r w:rsidRPr="00C46CA1">
        <w:rPr>
          <w:noProof/>
          <w:sz w:val="20"/>
          <w:szCs w:val="20"/>
        </w:rPr>
        <w:drawing>
          <wp:inline distT="0" distB="0" distL="0" distR="0" wp14:anchorId="0E971D59" wp14:editId="564DAB15">
            <wp:extent cx="4846740" cy="3520745"/>
            <wp:effectExtent l="0" t="0" r="0" b="3810"/>
            <wp:docPr id="1770717546"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17546" name=""/>
                    <pic:cNvPicPr/>
                  </pic:nvPicPr>
                  <pic:blipFill>
                    <a:blip r:embed="rId15"/>
                    <a:stretch>
                      <a:fillRect/>
                    </a:stretch>
                  </pic:blipFill>
                  <pic:spPr>
                    <a:xfrm>
                      <a:off x="0" y="0"/>
                      <a:ext cx="4846740" cy="3520745"/>
                    </a:xfrm>
                    <a:prstGeom prst="rect">
                      <a:avLst/>
                    </a:prstGeom>
                  </pic:spPr>
                </pic:pic>
              </a:graphicData>
            </a:graphic>
          </wp:inline>
        </w:drawing>
      </w:r>
    </w:p>
    <w:p w14:paraId="3089FAC9" w14:textId="4E09E938" w:rsidR="005A0810" w:rsidRDefault="00EC28BE" w:rsidP="005A0810">
      <w:pPr>
        <w:pStyle w:val="Heading2"/>
        <w:rPr>
          <w:rFonts w:eastAsia="Malgun Gothic"/>
          <w:lang w:eastAsia="ko-KR"/>
        </w:rPr>
      </w:pPr>
      <w:r w:rsidRPr="00EC28BE">
        <w:rPr>
          <w:rFonts w:eastAsia="Malgun Gothic"/>
          <w:lang w:eastAsia="ko-KR"/>
        </w:rPr>
        <w:t>MHFI Calculation</w:t>
      </w:r>
    </w:p>
    <w:p w14:paraId="3492059F" w14:textId="7CA1C27F" w:rsidR="00EC28BE" w:rsidRPr="00575A60" w:rsidRDefault="00EC28BE" w:rsidP="00EC28BE">
      <w:pPr>
        <w:pStyle w:val="NormalWeb"/>
        <w:rPr>
          <w:rFonts w:asciiTheme="minorHAnsi" w:hAnsiTheme="minorHAnsi" w:cstheme="minorHAnsi"/>
          <w:sz w:val="22"/>
          <w:szCs w:val="22"/>
        </w:rPr>
      </w:pPr>
      <w:r w:rsidRPr="00575A60">
        <w:rPr>
          <w:rFonts w:asciiTheme="minorHAnsi" w:hAnsiTheme="minorHAnsi" w:cstheme="minorHAnsi"/>
          <w:sz w:val="22"/>
          <w:szCs w:val="22"/>
        </w:rPr>
        <w:t>MHFI is derived by first calculating individual indices for each element and then integrating them. The individual indices are calculated from the five defined elements—wave height, swell, current, wind, and visibility—based on their observed values relative to established thresholds. Each element is quantified either by comparing observed values with stage thresholds or by applying ratios to determine which risk level is reached. For example, wave height and wind speed are calculated by comparing observations with stage thresholds; in the case of currents,</w:t>
      </w:r>
      <w:r w:rsidR="00363C34" w:rsidRPr="00363C34">
        <w:t xml:space="preserve"> </w:t>
      </w:r>
      <w:r w:rsidR="00363C34" w:rsidRPr="00363C34">
        <w:rPr>
          <w:rFonts w:asciiTheme="minorHAnsi" w:hAnsiTheme="minorHAnsi" w:cstheme="minorHAnsi"/>
          <w:sz w:val="22"/>
          <w:szCs w:val="22"/>
        </w:rPr>
        <w:t>the risk level dramatically increases</w:t>
      </w:r>
      <w:r w:rsidRPr="00575A60">
        <w:rPr>
          <w:rFonts w:asciiTheme="minorHAnsi" w:hAnsiTheme="minorHAnsi" w:cstheme="minorHAnsi"/>
          <w:sz w:val="22"/>
          <w:szCs w:val="22"/>
        </w:rPr>
        <w:t xml:space="preserve"> if the difference between vessel speed and current speed falls below a critical threshold (approximately 4 knots). For visibility, the observed range is compared against maximum visibility benchmarks, with lower values assigned to higher risk stages. Each element is classified on a scale from Level 0 (Safe) to Level 4 (Extreme Danger).</w:t>
      </w:r>
    </w:p>
    <w:p w14:paraId="60EE632D" w14:textId="31BBB0BF" w:rsidR="00EC28BE" w:rsidRPr="00EC28BE" w:rsidRDefault="00EC28BE" w:rsidP="00EC28BE">
      <w:pPr>
        <w:pStyle w:val="NormalWeb"/>
        <w:rPr>
          <w:rFonts w:asciiTheme="minorHAnsi" w:hAnsiTheme="minorHAnsi" w:cstheme="minorHAnsi"/>
          <w:sz w:val="22"/>
          <w:szCs w:val="22"/>
        </w:rPr>
      </w:pPr>
      <w:r w:rsidRPr="00EC28BE">
        <w:rPr>
          <w:rFonts w:asciiTheme="minorHAnsi" w:hAnsiTheme="minorHAnsi" w:cstheme="minorHAnsi"/>
          <w:sz w:val="22"/>
          <w:szCs w:val="22"/>
        </w:rPr>
        <w:t xml:space="preserve">The final MHFI is calculated by integrating the three highest-risk </w:t>
      </w:r>
      <w:r w:rsidR="00363C34">
        <w:rPr>
          <w:rFonts w:asciiTheme="minorHAnsi" w:hAnsiTheme="minorHAnsi" w:cstheme="minorHAnsi" w:hint="eastAsia"/>
          <w:sz w:val="22"/>
          <w:szCs w:val="22"/>
        </w:rPr>
        <w:t>factors</w:t>
      </w:r>
      <w:r w:rsidRPr="00EC28BE">
        <w:rPr>
          <w:rFonts w:asciiTheme="minorHAnsi" w:hAnsiTheme="minorHAnsi" w:cstheme="minorHAnsi"/>
          <w:sz w:val="22"/>
          <w:szCs w:val="22"/>
        </w:rPr>
        <w:t xml:space="preserve"> </w:t>
      </w:r>
      <w:r w:rsidR="00363C34">
        <w:rPr>
          <w:rFonts w:asciiTheme="minorHAnsi" w:hAnsiTheme="minorHAnsi" w:cstheme="minorHAnsi" w:hint="eastAsia"/>
          <w:sz w:val="22"/>
          <w:szCs w:val="22"/>
        </w:rPr>
        <w:t xml:space="preserve">among </w:t>
      </w:r>
      <w:r w:rsidRPr="00EC28BE">
        <w:rPr>
          <w:rFonts w:asciiTheme="minorHAnsi" w:hAnsiTheme="minorHAnsi" w:cstheme="minorHAnsi"/>
          <w:sz w:val="22"/>
          <w:szCs w:val="22"/>
        </w:rPr>
        <w:t>the five</w:t>
      </w:r>
      <w:r w:rsidR="00363C34">
        <w:rPr>
          <w:rFonts w:asciiTheme="minorHAnsi" w:hAnsiTheme="minorHAnsi" w:cstheme="minorHAnsi" w:hint="eastAsia"/>
          <w:sz w:val="22"/>
          <w:szCs w:val="22"/>
        </w:rPr>
        <w:t xml:space="preserve"> elements</w:t>
      </w:r>
      <w:r w:rsidRPr="00EC28BE">
        <w:rPr>
          <w:rFonts w:asciiTheme="minorHAnsi" w:hAnsiTheme="minorHAnsi" w:cstheme="minorHAnsi"/>
          <w:sz w:val="22"/>
          <w:szCs w:val="22"/>
        </w:rPr>
        <w:t xml:space="preserve">, rather than </w:t>
      </w:r>
      <w:r w:rsidR="00363C34" w:rsidRPr="00363C34">
        <w:rPr>
          <w:rFonts w:asciiTheme="minorHAnsi" w:hAnsiTheme="minorHAnsi" w:cstheme="minorHAnsi"/>
          <w:sz w:val="22"/>
          <w:szCs w:val="22"/>
        </w:rPr>
        <w:t>using a simple sum</w:t>
      </w:r>
      <w:r w:rsidRPr="00EC28BE">
        <w:rPr>
          <w:rFonts w:asciiTheme="minorHAnsi" w:hAnsiTheme="minorHAnsi" w:cstheme="minorHAnsi"/>
          <w:sz w:val="22"/>
          <w:szCs w:val="22"/>
        </w:rPr>
        <w:t xml:space="preserve">. A weighted approach is applied to the most dominant factors while also considering the influence of the other major factors. This reflects findings from accident analysis, which show that maritime accidents are rarely caused by a single factor, but rather by </w:t>
      </w:r>
      <w:r w:rsidR="00363C34">
        <w:rPr>
          <w:rFonts w:asciiTheme="minorHAnsi" w:hAnsiTheme="minorHAnsi" w:cstheme="minorHAnsi" w:hint="eastAsia"/>
          <w:sz w:val="22"/>
          <w:szCs w:val="22"/>
        </w:rPr>
        <w:t>a</w:t>
      </w:r>
      <w:r w:rsidRPr="00EC28BE">
        <w:rPr>
          <w:rFonts w:asciiTheme="minorHAnsi" w:hAnsiTheme="minorHAnsi" w:cstheme="minorHAnsi"/>
          <w:sz w:val="22"/>
          <w:szCs w:val="22"/>
        </w:rPr>
        <w:t xml:space="preserve"> combination of two or more hazardous conditions. For example, even if wave height is moderate, strong currents combined with rapidly deteriorating visibility can </w:t>
      </w:r>
      <w:r w:rsidR="00363C34" w:rsidRPr="00363C34">
        <w:rPr>
          <w:rFonts w:asciiTheme="minorHAnsi" w:hAnsiTheme="minorHAnsi" w:cstheme="minorHAnsi"/>
          <w:sz w:val="22"/>
          <w:szCs w:val="22"/>
        </w:rPr>
        <w:t xml:space="preserve">seriously influence </w:t>
      </w:r>
      <w:r w:rsidRPr="00EC28BE">
        <w:rPr>
          <w:rFonts w:asciiTheme="minorHAnsi" w:hAnsiTheme="minorHAnsi" w:cstheme="minorHAnsi"/>
          <w:sz w:val="22"/>
          <w:szCs w:val="22"/>
        </w:rPr>
        <w:t>safe navigation. Therefore, focusing on the most critical elements in the final index calculation is a rational approach.</w:t>
      </w:r>
    </w:p>
    <w:p w14:paraId="5A5066C1" w14:textId="1E0FC4F7" w:rsidR="00390C6D" w:rsidRDefault="00EC28BE" w:rsidP="00EC28BE">
      <w:pPr>
        <w:pStyle w:val="NormalWeb"/>
        <w:rPr>
          <w:rFonts w:asciiTheme="minorHAnsi" w:hAnsiTheme="minorHAnsi" w:cstheme="minorHAnsi"/>
          <w:sz w:val="22"/>
          <w:szCs w:val="22"/>
        </w:rPr>
      </w:pPr>
      <w:r w:rsidRPr="00EC28BE">
        <w:rPr>
          <w:rFonts w:asciiTheme="minorHAnsi" w:hAnsiTheme="minorHAnsi" w:cstheme="minorHAnsi"/>
          <w:sz w:val="22"/>
          <w:szCs w:val="22"/>
        </w:rPr>
        <w:t>The MHFI is classified into five levels: Level 0 (Safe), Level 1 (Caution), Level 2 (Warning), Level 3 (Danger), and Level 4 (Extreme Danger). Level 0 indicates conditions for normal navigation. Level 1 requires caution for vulnerable vessels such as small boats. Level 2 indicates conditions where general coastal navigation and offshore operations must be carried out with warning measures. Level 3 requires intervention and safety management by port authorities. Level 4 represents conditions under which all vessel operations should be suspended. This multi-level structure is designed to be intuitively understood by mariners, authorities, and policymakers, and unlike single-factor indices, it scientifically reflects complex maritime risk conditions.</w:t>
      </w:r>
    </w:p>
    <w:p w14:paraId="377CC5EE" w14:textId="51EA7A5E" w:rsidR="00D77DB2" w:rsidRPr="00D77DB2" w:rsidRDefault="00D77DB2" w:rsidP="00EC28BE">
      <w:pPr>
        <w:pStyle w:val="NormalWeb"/>
        <w:rPr>
          <w:rFonts w:asciiTheme="minorHAnsi" w:hAnsiTheme="minorHAnsi" w:cstheme="minorHAnsi"/>
          <w:sz w:val="22"/>
          <w:szCs w:val="22"/>
        </w:rPr>
      </w:pPr>
      <w:r w:rsidRPr="00D77DB2">
        <w:rPr>
          <w:rFonts w:asciiTheme="minorHAnsi" w:hAnsiTheme="minorHAnsi" w:cstheme="minorHAnsi"/>
          <w:sz w:val="22"/>
          <w:szCs w:val="22"/>
        </w:rPr>
        <w:t>[Table 6] MHFI Criteria</w:t>
      </w:r>
    </w:p>
    <w:tbl>
      <w:tblPr>
        <w:tblOverlap w:val="never"/>
        <w:tblW w:w="9626" w:type="dxa"/>
        <w:tblInd w:w="54" w:type="dxa"/>
        <w:tblBorders>
          <w:top w:val="single" w:sz="2" w:space="0" w:color="000000"/>
          <w:left w:val="single" w:sz="2" w:space="0" w:color="000000"/>
          <w:bottom w:val="single" w:sz="2" w:space="0" w:color="000000"/>
          <w:right w:val="single" w:sz="2" w:space="0" w:color="000000"/>
        </w:tblBorders>
        <w:tblCellMar>
          <w:top w:w="28" w:type="dxa"/>
          <w:left w:w="102" w:type="dxa"/>
          <w:bottom w:w="28" w:type="dxa"/>
          <w:right w:w="102" w:type="dxa"/>
        </w:tblCellMar>
        <w:tblLook w:val="0000" w:firstRow="0" w:lastRow="0" w:firstColumn="0" w:lastColumn="0" w:noHBand="0" w:noVBand="0"/>
      </w:tblPr>
      <w:tblGrid>
        <w:gridCol w:w="819"/>
        <w:gridCol w:w="963"/>
        <w:gridCol w:w="1415"/>
        <w:gridCol w:w="1415"/>
        <w:gridCol w:w="1678"/>
        <w:gridCol w:w="1452"/>
        <w:gridCol w:w="1042"/>
        <w:gridCol w:w="842"/>
      </w:tblGrid>
      <w:tr w:rsidR="00C606FB" w:rsidRPr="003A1031" w14:paraId="1E358FA2" w14:textId="77777777" w:rsidTr="00D77DB2">
        <w:trPr>
          <w:trHeight w:val="34"/>
        </w:trPr>
        <w:tc>
          <w:tcPr>
            <w:tcW w:w="1782" w:type="dxa"/>
            <w:gridSpan w:val="2"/>
            <w:tcBorders>
              <w:top w:val="single" w:sz="2" w:space="0" w:color="000000"/>
              <w:bottom w:val="single" w:sz="2" w:space="0" w:color="000000"/>
              <w:right w:val="single" w:sz="2" w:space="0" w:color="000000"/>
            </w:tcBorders>
            <w:vAlign w:val="center"/>
          </w:tcPr>
          <w:p w14:paraId="2C5AD294" w14:textId="1BF86535" w:rsidR="00390C6D" w:rsidRPr="00C606FB" w:rsidRDefault="00C606FB" w:rsidP="00B126B1">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eastAsia="함초롬바탕" w:hAnsiTheme="minorHAnsi" w:cstheme="minorHAnsi"/>
                <w:color w:val="000000"/>
                <w:sz w:val="16"/>
                <w:szCs w:val="16"/>
                <w:lang w:eastAsia="ko-KR"/>
              </w:rPr>
              <w:t>Meaning</w:t>
            </w:r>
          </w:p>
        </w:tc>
        <w:tc>
          <w:tcPr>
            <w:tcW w:w="1415" w:type="dxa"/>
            <w:tcBorders>
              <w:top w:val="single" w:sz="2" w:space="0" w:color="000000"/>
              <w:left w:val="single" w:sz="2" w:space="0" w:color="000000"/>
              <w:bottom w:val="single" w:sz="2" w:space="0" w:color="000000"/>
              <w:right w:val="single" w:sz="2" w:space="0" w:color="000000"/>
            </w:tcBorders>
            <w:shd w:val="clear" w:color="auto" w:fill="49EE49"/>
            <w:vAlign w:val="center"/>
          </w:tcPr>
          <w:p w14:paraId="334D531B" w14:textId="5DD52A4C" w:rsidR="00390C6D" w:rsidRPr="00C606FB" w:rsidRDefault="00390C6D" w:rsidP="00B126B1">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eastAsia="함초롬바탕" w:hAnsiTheme="minorHAnsi" w:cstheme="minorHAnsi"/>
                <w:color w:val="000000"/>
                <w:sz w:val="16"/>
                <w:szCs w:val="16"/>
                <w:lang w:eastAsia="ko-KR"/>
              </w:rPr>
              <w:t>Safe</w:t>
            </w:r>
          </w:p>
        </w:tc>
        <w:tc>
          <w:tcPr>
            <w:tcW w:w="1415" w:type="dxa"/>
            <w:tcBorders>
              <w:top w:val="single" w:sz="2" w:space="0" w:color="000000"/>
              <w:left w:val="single" w:sz="2" w:space="0" w:color="000000"/>
              <w:bottom w:val="single" w:sz="2" w:space="0" w:color="000000"/>
              <w:right w:val="single" w:sz="2" w:space="0" w:color="000000"/>
            </w:tcBorders>
            <w:shd w:val="clear" w:color="auto" w:fill="F5F525"/>
            <w:vAlign w:val="center"/>
          </w:tcPr>
          <w:p w14:paraId="3879F665" w14:textId="3BA620F2" w:rsidR="00390C6D" w:rsidRPr="00C606FB" w:rsidRDefault="00390C6D" w:rsidP="00B126B1">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eastAsia="함초롬바탕" w:hAnsiTheme="minorHAnsi" w:cstheme="minorHAnsi"/>
                <w:color w:val="000000"/>
                <w:sz w:val="16"/>
                <w:szCs w:val="16"/>
              </w:rPr>
              <w:t>Caution</w:t>
            </w:r>
          </w:p>
        </w:tc>
        <w:tc>
          <w:tcPr>
            <w:tcW w:w="1678" w:type="dxa"/>
            <w:tcBorders>
              <w:top w:val="single" w:sz="2" w:space="0" w:color="000000"/>
              <w:left w:val="single" w:sz="2" w:space="0" w:color="000000"/>
              <w:bottom w:val="single" w:sz="2" w:space="0" w:color="000000"/>
              <w:right w:val="single" w:sz="2" w:space="0" w:color="000000"/>
            </w:tcBorders>
            <w:shd w:val="clear" w:color="auto" w:fill="EEB449"/>
            <w:vAlign w:val="center"/>
          </w:tcPr>
          <w:p w14:paraId="39EE5463" w14:textId="2BD4895C" w:rsidR="00390C6D" w:rsidRPr="00C606FB" w:rsidRDefault="00390C6D" w:rsidP="00B126B1">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eastAsia="함초롬바탕" w:hAnsiTheme="minorHAnsi" w:cstheme="minorHAnsi"/>
                <w:color w:val="000000"/>
                <w:sz w:val="16"/>
                <w:szCs w:val="16"/>
              </w:rPr>
              <w:t>Warning</w:t>
            </w:r>
          </w:p>
        </w:tc>
        <w:tc>
          <w:tcPr>
            <w:tcW w:w="1452" w:type="dxa"/>
            <w:tcBorders>
              <w:top w:val="single" w:sz="2" w:space="0" w:color="000000"/>
              <w:left w:val="single" w:sz="2" w:space="0" w:color="000000"/>
              <w:bottom w:val="single" w:sz="2" w:space="0" w:color="000000"/>
              <w:right w:val="single" w:sz="2" w:space="0" w:color="000000"/>
            </w:tcBorders>
            <w:shd w:val="clear" w:color="auto" w:fill="EE4949"/>
            <w:vAlign w:val="center"/>
          </w:tcPr>
          <w:p w14:paraId="07282FB0" w14:textId="2B1F6EE8" w:rsidR="00390C6D" w:rsidRPr="00C606FB" w:rsidRDefault="00390C6D" w:rsidP="00B126B1">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eastAsia="함초롬바탕" w:hAnsiTheme="minorHAnsi" w:cstheme="minorHAnsi"/>
                <w:color w:val="000000"/>
                <w:sz w:val="16"/>
                <w:szCs w:val="16"/>
                <w:lang w:eastAsia="ko-KR"/>
              </w:rPr>
              <w:t>Danger</w:t>
            </w:r>
          </w:p>
        </w:tc>
        <w:tc>
          <w:tcPr>
            <w:tcW w:w="1884" w:type="dxa"/>
            <w:gridSpan w:val="2"/>
            <w:tcBorders>
              <w:top w:val="single" w:sz="2" w:space="0" w:color="000000"/>
              <w:left w:val="single" w:sz="2" w:space="0" w:color="000000"/>
              <w:bottom w:val="single" w:sz="2" w:space="0" w:color="000000"/>
            </w:tcBorders>
            <w:shd w:val="clear" w:color="auto" w:fill="F52568"/>
            <w:vAlign w:val="center"/>
          </w:tcPr>
          <w:p w14:paraId="2BBA1E9F" w14:textId="207AACCC" w:rsidR="00390C6D" w:rsidRPr="00C606FB" w:rsidRDefault="00390C6D" w:rsidP="00B126B1">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eastAsia="함초롬바탕" w:hAnsiTheme="minorHAnsi" w:cstheme="minorHAnsi"/>
                <w:color w:val="000000"/>
                <w:sz w:val="16"/>
                <w:szCs w:val="16"/>
                <w:lang w:eastAsia="ko-KR"/>
              </w:rPr>
              <w:t>Extreme Danger</w:t>
            </w:r>
          </w:p>
        </w:tc>
      </w:tr>
      <w:tr w:rsidR="00C606FB" w:rsidRPr="00437C36" w14:paraId="262FD5E6" w14:textId="77777777" w:rsidTr="00D77DB2">
        <w:trPr>
          <w:trHeight w:val="34"/>
        </w:trPr>
        <w:tc>
          <w:tcPr>
            <w:tcW w:w="1782" w:type="dxa"/>
            <w:gridSpan w:val="2"/>
            <w:tcBorders>
              <w:top w:val="single" w:sz="2" w:space="0" w:color="000000"/>
              <w:bottom w:val="single" w:sz="2" w:space="0" w:color="000000"/>
              <w:right w:val="single" w:sz="2" w:space="0" w:color="000000"/>
            </w:tcBorders>
            <w:vAlign w:val="center"/>
          </w:tcPr>
          <w:p w14:paraId="07D3F37A" w14:textId="06C50BA1" w:rsidR="00390C6D" w:rsidRPr="00C606FB" w:rsidRDefault="00C606FB" w:rsidP="00B126B1">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eastAsia="함초롬바탕" w:hAnsiTheme="minorHAnsi" w:cstheme="minorHAnsi"/>
                <w:color w:val="000000"/>
                <w:sz w:val="16"/>
                <w:szCs w:val="16"/>
                <w:lang w:eastAsia="ko-KR"/>
              </w:rPr>
              <w:t>Level</w:t>
            </w:r>
          </w:p>
        </w:tc>
        <w:tc>
          <w:tcPr>
            <w:tcW w:w="1415" w:type="dxa"/>
            <w:tcBorders>
              <w:top w:val="single" w:sz="2" w:space="0" w:color="000000"/>
              <w:left w:val="single" w:sz="2" w:space="0" w:color="000000"/>
              <w:bottom w:val="single" w:sz="2" w:space="0" w:color="000000"/>
              <w:right w:val="single" w:sz="2" w:space="0" w:color="000000"/>
            </w:tcBorders>
            <w:shd w:val="clear" w:color="auto" w:fill="49EE49"/>
            <w:vAlign w:val="center"/>
          </w:tcPr>
          <w:p w14:paraId="69303695" w14:textId="3CBF9F7F" w:rsidR="00390C6D" w:rsidRPr="00C606FB" w:rsidRDefault="0074508D" w:rsidP="00B126B1">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Pr>
                <w:rFonts w:asciiTheme="minorHAnsi" w:eastAsia="함초롬바탕" w:hAnsiTheme="minorHAnsi" w:cstheme="minorHAnsi" w:hint="eastAsia"/>
                <w:b/>
                <w:bCs/>
                <w:color w:val="000000"/>
                <w:sz w:val="16"/>
                <w:szCs w:val="16"/>
                <w:lang w:eastAsia="ko-KR"/>
              </w:rPr>
              <w:t xml:space="preserve">LV </w:t>
            </w:r>
            <w:r w:rsidR="00390C6D" w:rsidRPr="00C606FB">
              <w:rPr>
                <w:rFonts w:asciiTheme="minorHAnsi" w:eastAsia="함초롬바탕" w:hAnsiTheme="minorHAnsi" w:cstheme="minorHAnsi"/>
                <w:b/>
                <w:bCs/>
                <w:color w:val="000000"/>
                <w:sz w:val="16"/>
                <w:szCs w:val="16"/>
              </w:rPr>
              <w:t>0</w:t>
            </w:r>
          </w:p>
        </w:tc>
        <w:tc>
          <w:tcPr>
            <w:tcW w:w="1415" w:type="dxa"/>
            <w:tcBorders>
              <w:top w:val="single" w:sz="2" w:space="0" w:color="000000"/>
              <w:left w:val="single" w:sz="2" w:space="0" w:color="000000"/>
              <w:bottom w:val="single" w:sz="2" w:space="0" w:color="000000"/>
              <w:right w:val="single" w:sz="2" w:space="0" w:color="000000"/>
            </w:tcBorders>
            <w:shd w:val="clear" w:color="auto" w:fill="F5F525"/>
            <w:vAlign w:val="center"/>
          </w:tcPr>
          <w:p w14:paraId="79AAD2DC" w14:textId="1D488F3C" w:rsidR="00390C6D" w:rsidRPr="00C606FB" w:rsidRDefault="0074508D" w:rsidP="00B126B1">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Pr>
                <w:rFonts w:asciiTheme="minorHAnsi" w:eastAsia="함초롬바탕" w:hAnsiTheme="minorHAnsi" w:cstheme="minorHAnsi" w:hint="eastAsia"/>
                <w:b/>
                <w:bCs/>
                <w:color w:val="000000"/>
                <w:sz w:val="16"/>
                <w:szCs w:val="16"/>
                <w:lang w:eastAsia="ko-KR"/>
              </w:rPr>
              <w:t xml:space="preserve">LV </w:t>
            </w:r>
            <w:r w:rsidR="00390C6D" w:rsidRPr="00C606FB">
              <w:rPr>
                <w:rFonts w:asciiTheme="minorHAnsi" w:eastAsia="함초롬바탕" w:hAnsiTheme="minorHAnsi" w:cstheme="minorHAnsi"/>
                <w:b/>
                <w:bCs/>
                <w:color w:val="000000"/>
                <w:sz w:val="16"/>
                <w:szCs w:val="16"/>
              </w:rPr>
              <w:t>1</w:t>
            </w:r>
          </w:p>
        </w:tc>
        <w:tc>
          <w:tcPr>
            <w:tcW w:w="1678" w:type="dxa"/>
            <w:tcBorders>
              <w:top w:val="single" w:sz="2" w:space="0" w:color="000000"/>
              <w:left w:val="single" w:sz="2" w:space="0" w:color="000000"/>
              <w:bottom w:val="single" w:sz="2" w:space="0" w:color="000000"/>
              <w:right w:val="single" w:sz="2" w:space="0" w:color="000000"/>
            </w:tcBorders>
            <w:shd w:val="clear" w:color="auto" w:fill="EEB449"/>
            <w:vAlign w:val="center"/>
          </w:tcPr>
          <w:p w14:paraId="29682EDF" w14:textId="61E7A364" w:rsidR="00390C6D" w:rsidRPr="00C606FB" w:rsidRDefault="0074508D" w:rsidP="00B126B1">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Pr>
                <w:rFonts w:asciiTheme="minorHAnsi" w:eastAsia="함초롬바탕" w:hAnsiTheme="minorHAnsi" w:cstheme="minorHAnsi" w:hint="eastAsia"/>
                <w:b/>
                <w:bCs/>
                <w:color w:val="000000"/>
                <w:sz w:val="16"/>
                <w:szCs w:val="16"/>
                <w:lang w:eastAsia="ko-KR"/>
              </w:rPr>
              <w:t xml:space="preserve">LV </w:t>
            </w:r>
            <w:r w:rsidR="00390C6D" w:rsidRPr="00C606FB">
              <w:rPr>
                <w:rFonts w:asciiTheme="minorHAnsi" w:eastAsia="함초롬바탕" w:hAnsiTheme="minorHAnsi" w:cstheme="minorHAnsi"/>
                <w:b/>
                <w:bCs/>
                <w:color w:val="000000"/>
                <w:sz w:val="16"/>
                <w:szCs w:val="16"/>
              </w:rPr>
              <w:t>2</w:t>
            </w:r>
          </w:p>
        </w:tc>
        <w:tc>
          <w:tcPr>
            <w:tcW w:w="1452" w:type="dxa"/>
            <w:tcBorders>
              <w:top w:val="single" w:sz="2" w:space="0" w:color="000000"/>
              <w:left w:val="single" w:sz="2" w:space="0" w:color="000000"/>
              <w:bottom w:val="single" w:sz="2" w:space="0" w:color="000000"/>
              <w:right w:val="single" w:sz="2" w:space="0" w:color="000000"/>
            </w:tcBorders>
            <w:shd w:val="clear" w:color="auto" w:fill="EE4949"/>
            <w:vAlign w:val="center"/>
          </w:tcPr>
          <w:p w14:paraId="1CDAD8B0" w14:textId="607C72CA" w:rsidR="00390C6D" w:rsidRPr="00C606FB" w:rsidRDefault="0074508D" w:rsidP="00B126B1">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Pr>
                <w:rFonts w:asciiTheme="minorHAnsi" w:eastAsia="함초롬바탕" w:hAnsiTheme="minorHAnsi" w:cstheme="minorHAnsi" w:hint="eastAsia"/>
                <w:b/>
                <w:bCs/>
                <w:color w:val="000000"/>
                <w:sz w:val="16"/>
                <w:szCs w:val="16"/>
                <w:lang w:eastAsia="ko-KR"/>
              </w:rPr>
              <w:t xml:space="preserve">LV </w:t>
            </w:r>
            <w:r w:rsidR="00390C6D" w:rsidRPr="00C606FB">
              <w:rPr>
                <w:rFonts w:asciiTheme="minorHAnsi" w:eastAsia="함초롬바탕" w:hAnsiTheme="minorHAnsi" w:cstheme="minorHAnsi"/>
                <w:b/>
                <w:bCs/>
                <w:color w:val="000000"/>
                <w:sz w:val="16"/>
                <w:szCs w:val="16"/>
              </w:rPr>
              <w:t>3</w:t>
            </w:r>
          </w:p>
        </w:tc>
        <w:tc>
          <w:tcPr>
            <w:tcW w:w="1884" w:type="dxa"/>
            <w:gridSpan w:val="2"/>
            <w:tcBorders>
              <w:top w:val="single" w:sz="2" w:space="0" w:color="000000"/>
              <w:left w:val="single" w:sz="2" w:space="0" w:color="000000"/>
              <w:bottom w:val="single" w:sz="2" w:space="0" w:color="000000"/>
            </w:tcBorders>
            <w:shd w:val="clear" w:color="auto" w:fill="F52568"/>
            <w:vAlign w:val="center"/>
          </w:tcPr>
          <w:p w14:paraId="12B789D8" w14:textId="71E4CDFB" w:rsidR="00390C6D" w:rsidRPr="00C606FB" w:rsidRDefault="0074508D" w:rsidP="00B126B1">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Pr>
                <w:rFonts w:asciiTheme="minorHAnsi" w:eastAsia="함초롬바탕" w:hAnsiTheme="minorHAnsi" w:cstheme="minorHAnsi" w:hint="eastAsia"/>
                <w:b/>
                <w:bCs/>
                <w:color w:val="000000"/>
                <w:sz w:val="16"/>
                <w:szCs w:val="16"/>
                <w:lang w:eastAsia="ko-KR"/>
              </w:rPr>
              <w:t xml:space="preserve">LV </w:t>
            </w:r>
            <w:r w:rsidR="00390C6D" w:rsidRPr="00C606FB">
              <w:rPr>
                <w:rFonts w:asciiTheme="minorHAnsi" w:eastAsia="함초롬바탕" w:hAnsiTheme="minorHAnsi" w:cstheme="minorHAnsi"/>
                <w:b/>
                <w:bCs/>
                <w:color w:val="000000"/>
                <w:sz w:val="16"/>
                <w:szCs w:val="16"/>
              </w:rPr>
              <w:t>4</w:t>
            </w:r>
          </w:p>
        </w:tc>
      </w:tr>
      <w:tr w:rsidR="00C606FB" w:rsidRPr="004C4F8D" w14:paraId="6B779C36" w14:textId="77777777" w:rsidTr="00D77DB2">
        <w:trPr>
          <w:trHeight w:val="306"/>
        </w:trPr>
        <w:tc>
          <w:tcPr>
            <w:tcW w:w="1782" w:type="dxa"/>
            <w:gridSpan w:val="2"/>
            <w:tcBorders>
              <w:top w:val="single" w:sz="2" w:space="0" w:color="000000"/>
              <w:bottom w:val="single" w:sz="2" w:space="0" w:color="000000"/>
              <w:right w:val="single" w:sz="2" w:space="0" w:color="000000"/>
            </w:tcBorders>
          </w:tcPr>
          <w:p w14:paraId="142D9566" w14:textId="7E7D3389"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Description</w:t>
            </w:r>
          </w:p>
        </w:tc>
        <w:tc>
          <w:tcPr>
            <w:tcW w:w="1415" w:type="dxa"/>
            <w:tcBorders>
              <w:top w:val="single" w:sz="2" w:space="0" w:color="000000"/>
              <w:left w:val="single" w:sz="2" w:space="0" w:color="000000"/>
              <w:bottom w:val="single" w:sz="2" w:space="0" w:color="000000"/>
              <w:right w:val="single" w:sz="2" w:space="0" w:color="000000"/>
            </w:tcBorders>
          </w:tcPr>
          <w:p w14:paraId="33C9306A" w14:textId="3C7DEDC9"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Safe condition</w:t>
            </w:r>
          </w:p>
        </w:tc>
        <w:tc>
          <w:tcPr>
            <w:tcW w:w="1415" w:type="dxa"/>
            <w:tcBorders>
              <w:top w:val="single" w:sz="2" w:space="0" w:color="000000"/>
              <w:left w:val="single" w:sz="2" w:space="0" w:color="000000"/>
              <w:bottom w:val="single" w:sz="2" w:space="0" w:color="000000"/>
              <w:right w:val="single" w:sz="2" w:space="0" w:color="000000"/>
            </w:tcBorders>
          </w:tcPr>
          <w:p w14:paraId="48531B7D" w14:textId="2304E705"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Attention required, especially for small vessels with limited stability</w:t>
            </w:r>
          </w:p>
        </w:tc>
        <w:tc>
          <w:tcPr>
            <w:tcW w:w="1678" w:type="dxa"/>
            <w:tcBorders>
              <w:top w:val="single" w:sz="2" w:space="0" w:color="000000"/>
              <w:left w:val="single" w:sz="2" w:space="0" w:color="000000"/>
              <w:bottom w:val="single" w:sz="2" w:space="0" w:color="000000"/>
              <w:right w:val="single" w:sz="2" w:space="0" w:color="000000"/>
            </w:tcBorders>
          </w:tcPr>
          <w:p w14:paraId="6E64025A" w14:textId="6811AB25"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Vessel motions become significant, requiring precautionary measures</w:t>
            </w:r>
          </w:p>
        </w:tc>
        <w:tc>
          <w:tcPr>
            <w:tcW w:w="1452" w:type="dxa"/>
            <w:tcBorders>
              <w:top w:val="single" w:sz="2" w:space="0" w:color="000000"/>
              <w:left w:val="single" w:sz="2" w:space="0" w:color="000000"/>
              <w:bottom w:val="single" w:sz="2" w:space="0" w:color="000000"/>
              <w:right w:val="single" w:sz="2" w:space="0" w:color="000000"/>
            </w:tcBorders>
          </w:tcPr>
          <w:p w14:paraId="5F560868" w14:textId="038EDC90"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Pre-danger stage, navigation requires strong caution</w:t>
            </w:r>
          </w:p>
        </w:tc>
        <w:tc>
          <w:tcPr>
            <w:tcW w:w="1884" w:type="dxa"/>
            <w:gridSpan w:val="2"/>
            <w:tcBorders>
              <w:top w:val="single" w:sz="2" w:space="0" w:color="000000"/>
              <w:left w:val="single" w:sz="2" w:space="0" w:color="000000"/>
              <w:bottom w:val="single" w:sz="2" w:space="0" w:color="000000"/>
            </w:tcBorders>
          </w:tcPr>
          <w:p w14:paraId="07413414" w14:textId="74A5BF37"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Critically dangerous, navigation should be suspended</w:t>
            </w:r>
          </w:p>
        </w:tc>
      </w:tr>
      <w:tr w:rsidR="00C606FB" w:rsidRPr="00944256" w14:paraId="6062DED0" w14:textId="77777777" w:rsidTr="00D77DB2">
        <w:trPr>
          <w:trHeight w:val="168"/>
        </w:trPr>
        <w:tc>
          <w:tcPr>
            <w:tcW w:w="819" w:type="dxa"/>
            <w:vMerge w:val="restart"/>
            <w:tcBorders>
              <w:top w:val="single" w:sz="2" w:space="0" w:color="000000"/>
              <w:right w:val="single" w:sz="2" w:space="0" w:color="000000"/>
            </w:tcBorders>
            <w:vAlign w:val="center"/>
          </w:tcPr>
          <w:p w14:paraId="66B0B63F" w14:textId="63602BAE"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Wave Height (Hs)</w:t>
            </w:r>
          </w:p>
        </w:tc>
        <w:tc>
          <w:tcPr>
            <w:tcW w:w="963" w:type="dxa"/>
            <w:tcBorders>
              <w:top w:val="single" w:sz="2" w:space="0" w:color="000000"/>
              <w:right w:val="single" w:sz="2" w:space="0" w:color="000000"/>
            </w:tcBorders>
            <w:vAlign w:val="center"/>
          </w:tcPr>
          <w:p w14:paraId="244C7C82" w14:textId="0ABFB2DF"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General</w:t>
            </w:r>
            <w:r w:rsidRPr="00C606FB">
              <w:rPr>
                <w:rFonts w:asciiTheme="minorHAnsi" w:hAnsiTheme="minorHAnsi" w:cstheme="minorHAnsi"/>
                <w:sz w:val="16"/>
                <w:szCs w:val="16"/>
                <w:lang w:eastAsia="ko-KR"/>
              </w:rPr>
              <w:t xml:space="preserve"> Vessel</w:t>
            </w:r>
          </w:p>
        </w:tc>
        <w:tc>
          <w:tcPr>
            <w:tcW w:w="1415" w:type="dxa"/>
            <w:tcBorders>
              <w:top w:val="single" w:sz="2" w:space="0" w:color="000000"/>
              <w:left w:val="single" w:sz="2" w:space="0" w:color="000000"/>
              <w:bottom w:val="single" w:sz="2" w:space="0" w:color="000000"/>
              <w:right w:val="single" w:sz="2" w:space="0" w:color="000000"/>
            </w:tcBorders>
          </w:tcPr>
          <w:p w14:paraId="3C874C0C" w14:textId="0D0122DF"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pacing w:val="-24"/>
                <w:sz w:val="16"/>
                <w:szCs w:val="16"/>
              </w:rPr>
            </w:pPr>
            <w:r w:rsidRPr="00C606FB">
              <w:rPr>
                <w:rFonts w:asciiTheme="minorHAnsi" w:hAnsiTheme="minorHAnsi" w:cstheme="minorHAnsi"/>
                <w:sz w:val="16"/>
                <w:szCs w:val="16"/>
              </w:rPr>
              <w:t>≤ 0.5 m (WMO Sea State 2)</w:t>
            </w:r>
          </w:p>
        </w:tc>
        <w:tc>
          <w:tcPr>
            <w:tcW w:w="1415" w:type="dxa"/>
            <w:tcBorders>
              <w:top w:val="single" w:sz="2" w:space="0" w:color="000000"/>
              <w:left w:val="single" w:sz="2" w:space="0" w:color="000000"/>
              <w:bottom w:val="single" w:sz="2" w:space="0" w:color="000000"/>
              <w:right w:val="single" w:sz="2" w:space="0" w:color="000000"/>
            </w:tcBorders>
          </w:tcPr>
          <w:p w14:paraId="3AF6BDF7" w14:textId="3D802303"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pacing w:val="-24"/>
                <w:sz w:val="16"/>
                <w:szCs w:val="16"/>
              </w:rPr>
            </w:pPr>
            <w:r w:rsidRPr="00C606FB">
              <w:rPr>
                <w:rFonts w:asciiTheme="minorHAnsi" w:hAnsiTheme="minorHAnsi" w:cstheme="minorHAnsi"/>
                <w:sz w:val="16"/>
                <w:szCs w:val="16"/>
              </w:rPr>
              <w:t>≤ 1.25 m (WMO Sea State 3)</w:t>
            </w:r>
          </w:p>
        </w:tc>
        <w:tc>
          <w:tcPr>
            <w:tcW w:w="1678" w:type="dxa"/>
            <w:tcBorders>
              <w:top w:val="single" w:sz="2" w:space="0" w:color="000000"/>
              <w:left w:val="single" w:sz="2" w:space="0" w:color="000000"/>
              <w:bottom w:val="single" w:sz="2" w:space="0" w:color="000000"/>
              <w:right w:val="single" w:sz="2" w:space="0" w:color="000000"/>
            </w:tcBorders>
          </w:tcPr>
          <w:p w14:paraId="5A688B2F" w14:textId="6A520106"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pacing w:val="-24"/>
                <w:sz w:val="16"/>
                <w:szCs w:val="16"/>
              </w:rPr>
            </w:pPr>
            <w:r w:rsidRPr="00C606FB">
              <w:rPr>
                <w:rFonts w:asciiTheme="minorHAnsi" w:hAnsiTheme="minorHAnsi" w:cstheme="minorHAnsi"/>
                <w:sz w:val="16"/>
                <w:szCs w:val="16"/>
              </w:rPr>
              <w:t>≤ 2.5 m (WMO Sea State 4)</w:t>
            </w:r>
          </w:p>
        </w:tc>
        <w:tc>
          <w:tcPr>
            <w:tcW w:w="1452" w:type="dxa"/>
            <w:tcBorders>
              <w:top w:val="single" w:sz="2" w:space="0" w:color="000000"/>
              <w:left w:val="single" w:sz="2" w:space="0" w:color="000000"/>
              <w:bottom w:val="single" w:sz="2" w:space="0" w:color="000000"/>
              <w:right w:val="single" w:sz="2" w:space="0" w:color="000000"/>
            </w:tcBorders>
          </w:tcPr>
          <w:p w14:paraId="48EC8C07" w14:textId="4326DB61"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pacing w:val="-24"/>
                <w:sz w:val="16"/>
                <w:szCs w:val="16"/>
                <w:lang w:eastAsia="ko-KR"/>
              </w:rPr>
            </w:pPr>
            <w:r w:rsidRPr="00C606FB">
              <w:rPr>
                <w:rFonts w:asciiTheme="minorHAnsi" w:hAnsiTheme="minorHAnsi" w:cstheme="minorHAnsi"/>
                <w:sz w:val="16"/>
                <w:szCs w:val="16"/>
              </w:rPr>
              <w:t>2.5–4.0 m (Passenger ship sailing prohibited, Korea)</w:t>
            </w:r>
          </w:p>
        </w:tc>
        <w:tc>
          <w:tcPr>
            <w:tcW w:w="1884" w:type="dxa"/>
            <w:gridSpan w:val="2"/>
            <w:tcBorders>
              <w:top w:val="single" w:sz="2" w:space="0" w:color="000000"/>
              <w:left w:val="single" w:sz="2" w:space="0" w:color="000000"/>
              <w:bottom w:val="single" w:sz="2" w:space="0" w:color="000000"/>
            </w:tcBorders>
          </w:tcPr>
          <w:p w14:paraId="43D869E2" w14:textId="506797A6" w:rsidR="00C606FB" w:rsidRPr="00C606FB" w:rsidRDefault="00C606FB" w:rsidP="00C606FB">
            <w:pPr>
              <w:pStyle w:val="FFFFB0FFFFA2FFFFC1FFFFD6"/>
              <w:ind w:left="0" w:firstLine="0"/>
              <w:jc w:val="center"/>
              <w:rPr>
                <w:rFonts w:asciiTheme="minorHAnsi" w:eastAsia="Gulim" w:hAnsiTheme="minorHAnsi" w:cstheme="minorHAnsi"/>
                <w:sz w:val="16"/>
                <w:szCs w:val="16"/>
              </w:rPr>
            </w:pPr>
            <w:r w:rsidRPr="00C606FB">
              <w:rPr>
                <w:rFonts w:asciiTheme="minorHAnsi" w:hAnsiTheme="minorHAnsi" w:cstheme="minorHAnsi"/>
                <w:sz w:val="16"/>
                <w:szCs w:val="16"/>
              </w:rPr>
              <w:t>&gt; 4.0 m (Marine leisure vessel guideline, coastal vessel design criteria)</w:t>
            </w:r>
          </w:p>
        </w:tc>
      </w:tr>
      <w:tr w:rsidR="00C606FB" w:rsidRPr="003A1031" w14:paraId="4D5BCE33" w14:textId="77777777" w:rsidTr="00D77DB2">
        <w:trPr>
          <w:trHeight w:val="136"/>
        </w:trPr>
        <w:tc>
          <w:tcPr>
            <w:tcW w:w="819" w:type="dxa"/>
            <w:vMerge/>
            <w:tcBorders>
              <w:bottom w:val="single" w:sz="2" w:space="0" w:color="000000"/>
              <w:right w:val="single" w:sz="2" w:space="0" w:color="000000"/>
            </w:tcBorders>
            <w:vAlign w:val="center"/>
          </w:tcPr>
          <w:p w14:paraId="4C0AB7FD" w14:textId="77777777"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p>
        </w:tc>
        <w:tc>
          <w:tcPr>
            <w:tcW w:w="963" w:type="dxa"/>
            <w:tcBorders>
              <w:bottom w:val="single" w:sz="2" w:space="0" w:color="000000"/>
              <w:right w:val="single" w:sz="2" w:space="0" w:color="000000"/>
            </w:tcBorders>
            <w:vAlign w:val="center"/>
          </w:tcPr>
          <w:p w14:paraId="52414A5D" w14:textId="7538F89F"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Small Vessel</w:t>
            </w:r>
          </w:p>
        </w:tc>
        <w:tc>
          <w:tcPr>
            <w:tcW w:w="1415" w:type="dxa"/>
            <w:tcBorders>
              <w:top w:val="single" w:sz="2" w:space="0" w:color="000000"/>
              <w:left w:val="single" w:sz="2" w:space="0" w:color="000000"/>
              <w:bottom w:val="single" w:sz="2" w:space="0" w:color="000000"/>
              <w:right w:val="single" w:sz="2" w:space="0" w:color="000000"/>
            </w:tcBorders>
          </w:tcPr>
          <w:p w14:paraId="2DCEA961" w14:textId="2569630E"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HS_K IMO</w:t>
            </w:r>
          </w:p>
        </w:tc>
        <w:tc>
          <w:tcPr>
            <w:tcW w:w="1415" w:type="dxa"/>
            <w:tcBorders>
              <w:top w:val="single" w:sz="2" w:space="0" w:color="000000"/>
              <w:left w:val="single" w:sz="2" w:space="0" w:color="000000"/>
              <w:bottom w:val="single" w:sz="2" w:space="0" w:color="000000"/>
              <w:right w:val="single" w:sz="2" w:space="0" w:color="000000"/>
            </w:tcBorders>
          </w:tcPr>
          <w:p w14:paraId="433A2FB8" w14:textId="2E078CD2"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 HS IMO (minimum stability, capsizing threshold for small vessels)</w:t>
            </w:r>
          </w:p>
        </w:tc>
        <w:tc>
          <w:tcPr>
            <w:tcW w:w="1678" w:type="dxa"/>
            <w:tcBorders>
              <w:top w:val="single" w:sz="2" w:space="0" w:color="000000"/>
              <w:left w:val="single" w:sz="2" w:space="0" w:color="000000"/>
              <w:bottom w:val="single" w:sz="2" w:space="0" w:color="000000"/>
              <w:right w:val="single" w:sz="2" w:space="0" w:color="000000"/>
            </w:tcBorders>
          </w:tcPr>
          <w:p w14:paraId="51719670" w14:textId="3619B6C2"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HS IMO × 1.2 (capsizing threshold)</w:t>
            </w:r>
          </w:p>
        </w:tc>
        <w:tc>
          <w:tcPr>
            <w:tcW w:w="1452" w:type="dxa"/>
            <w:tcBorders>
              <w:top w:val="single" w:sz="2" w:space="0" w:color="000000"/>
              <w:left w:val="single" w:sz="2" w:space="0" w:color="000000"/>
              <w:bottom w:val="single" w:sz="2" w:space="0" w:color="000000"/>
              <w:right w:val="single" w:sz="2" w:space="0" w:color="000000"/>
            </w:tcBorders>
          </w:tcPr>
          <w:p w14:paraId="15F70906" w14:textId="72D54C7D"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pacing w:val="-24"/>
                <w:sz w:val="16"/>
                <w:szCs w:val="16"/>
                <w:lang w:eastAsia="ko-KR"/>
              </w:rPr>
            </w:pPr>
            <w:r w:rsidRPr="00C606FB">
              <w:rPr>
                <w:rFonts w:asciiTheme="minorHAnsi" w:hAnsiTheme="minorHAnsi" w:cstheme="minorHAnsi"/>
                <w:sz w:val="16"/>
                <w:szCs w:val="16"/>
              </w:rPr>
              <w:t>≤ HS IMO × 1.5 (capsizing threshold)</w:t>
            </w:r>
          </w:p>
        </w:tc>
        <w:tc>
          <w:tcPr>
            <w:tcW w:w="1884" w:type="dxa"/>
            <w:gridSpan w:val="2"/>
            <w:tcBorders>
              <w:top w:val="single" w:sz="2" w:space="0" w:color="000000"/>
              <w:left w:val="single" w:sz="2" w:space="0" w:color="000000"/>
              <w:bottom w:val="single" w:sz="2" w:space="0" w:color="000000"/>
            </w:tcBorders>
          </w:tcPr>
          <w:p w14:paraId="4121EBB1" w14:textId="030A67E3"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&gt; HS IMO × 1.5</w:t>
            </w:r>
          </w:p>
        </w:tc>
      </w:tr>
      <w:tr w:rsidR="00C606FB" w:rsidRPr="00ED0AA4" w14:paraId="2A8794D0" w14:textId="77777777" w:rsidTr="00D77DB2">
        <w:trPr>
          <w:trHeight w:val="51"/>
        </w:trPr>
        <w:tc>
          <w:tcPr>
            <w:tcW w:w="1782" w:type="dxa"/>
            <w:gridSpan w:val="2"/>
            <w:tcBorders>
              <w:top w:val="single" w:sz="2" w:space="0" w:color="000000"/>
              <w:bottom w:val="single" w:sz="2" w:space="0" w:color="000000"/>
              <w:right w:val="single" w:sz="2" w:space="0" w:color="000000"/>
            </w:tcBorders>
          </w:tcPr>
          <w:p w14:paraId="56025FC1" w14:textId="0CC174A3"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Swell (Period, s)</w:t>
            </w:r>
          </w:p>
        </w:tc>
        <w:tc>
          <w:tcPr>
            <w:tcW w:w="1415" w:type="dxa"/>
            <w:tcBorders>
              <w:top w:val="single" w:sz="2" w:space="0" w:color="000000"/>
              <w:left w:val="single" w:sz="2" w:space="0" w:color="000000"/>
              <w:bottom w:val="single" w:sz="2" w:space="0" w:color="000000"/>
              <w:right w:val="single" w:sz="2" w:space="0" w:color="000000"/>
            </w:tcBorders>
          </w:tcPr>
          <w:p w14:paraId="3420582A" w14:textId="5CBB2E2B"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4 sec</w:t>
            </w:r>
          </w:p>
        </w:tc>
        <w:tc>
          <w:tcPr>
            <w:tcW w:w="1415" w:type="dxa"/>
            <w:tcBorders>
              <w:top w:val="single" w:sz="2" w:space="0" w:color="000000"/>
              <w:left w:val="single" w:sz="2" w:space="0" w:color="000000"/>
              <w:bottom w:val="single" w:sz="2" w:space="0" w:color="000000"/>
              <w:right w:val="single" w:sz="2" w:space="0" w:color="000000"/>
            </w:tcBorders>
          </w:tcPr>
          <w:p w14:paraId="57E3100F" w14:textId="24E1677C"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6 sec</w:t>
            </w:r>
          </w:p>
        </w:tc>
        <w:tc>
          <w:tcPr>
            <w:tcW w:w="1678" w:type="dxa"/>
            <w:tcBorders>
              <w:top w:val="single" w:sz="2" w:space="0" w:color="000000"/>
              <w:left w:val="single" w:sz="2" w:space="0" w:color="000000"/>
              <w:bottom w:val="single" w:sz="2" w:space="0" w:color="000000"/>
              <w:right w:val="single" w:sz="2" w:space="0" w:color="000000"/>
            </w:tcBorders>
          </w:tcPr>
          <w:p w14:paraId="3CEBF042" w14:textId="51B167A9"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8 sec</w:t>
            </w:r>
          </w:p>
        </w:tc>
        <w:tc>
          <w:tcPr>
            <w:tcW w:w="1452" w:type="dxa"/>
            <w:tcBorders>
              <w:top w:val="single" w:sz="2" w:space="0" w:color="000000"/>
              <w:left w:val="single" w:sz="2" w:space="0" w:color="000000"/>
              <w:bottom w:val="single" w:sz="2" w:space="0" w:color="000000"/>
              <w:right w:val="single" w:sz="2" w:space="0" w:color="000000"/>
            </w:tcBorders>
          </w:tcPr>
          <w:p w14:paraId="6614D1CE" w14:textId="1A7DF5E2"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8–11 sec (dictionary definition of swell)</w:t>
            </w:r>
          </w:p>
        </w:tc>
        <w:tc>
          <w:tcPr>
            <w:tcW w:w="1884" w:type="dxa"/>
            <w:gridSpan w:val="2"/>
            <w:tcBorders>
              <w:top w:val="single" w:sz="2" w:space="0" w:color="000000"/>
              <w:left w:val="single" w:sz="2" w:space="0" w:color="000000"/>
              <w:bottom w:val="single" w:sz="2" w:space="0" w:color="000000"/>
            </w:tcBorders>
          </w:tcPr>
          <w:p w14:paraId="6E78C76D" w14:textId="7C87B058"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pacing w:val="-17"/>
                <w:sz w:val="16"/>
                <w:szCs w:val="16"/>
                <w:lang w:eastAsia="ko-KR"/>
              </w:rPr>
            </w:pPr>
            <w:r w:rsidRPr="00C606FB">
              <w:rPr>
                <w:rFonts w:asciiTheme="minorHAnsi" w:hAnsiTheme="minorHAnsi" w:cstheme="minorHAnsi"/>
                <w:sz w:val="16"/>
                <w:szCs w:val="16"/>
              </w:rPr>
              <w:t>&gt; 11 sec (highest risk level by KMA)</w:t>
            </w:r>
          </w:p>
        </w:tc>
      </w:tr>
      <w:tr w:rsidR="00C606FB" w:rsidRPr="003A1031" w14:paraId="701D8513" w14:textId="77777777" w:rsidTr="00D77DB2">
        <w:trPr>
          <w:trHeight w:val="3447"/>
        </w:trPr>
        <w:tc>
          <w:tcPr>
            <w:tcW w:w="1782" w:type="dxa"/>
            <w:gridSpan w:val="2"/>
            <w:tcBorders>
              <w:top w:val="single" w:sz="2" w:space="0" w:color="000000"/>
              <w:right w:val="single" w:sz="2" w:space="0" w:color="000000"/>
            </w:tcBorders>
          </w:tcPr>
          <w:p w14:paraId="2E64BEEA" w14:textId="2D05CA84"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Current (Velocity, m/s)</w:t>
            </w:r>
          </w:p>
        </w:tc>
        <w:tc>
          <w:tcPr>
            <w:tcW w:w="1415" w:type="dxa"/>
            <w:tcBorders>
              <w:top w:val="single" w:sz="2" w:space="0" w:color="000000"/>
              <w:left w:val="single" w:sz="2" w:space="0" w:color="000000"/>
              <w:right w:val="single" w:sz="2" w:space="0" w:color="000000"/>
            </w:tcBorders>
          </w:tcPr>
          <w:p w14:paraId="760F6520" w14:textId="205D79AB"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0.6 m/s (Ocean Info Service, HF-Radar classification – Blue)</w:t>
            </w:r>
          </w:p>
        </w:tc>
        <w:tc>
          <w:tcPr>
            <w:tcW w:w="1415" w:type="dxa"/>
            <w:tcBorders>
              <w:top w:val="single" w:sz="2" w:space="0" w:color="000000"/>
              <w:left w:val="single" w:sz="2" w:space="0" w:color="000000"/>
              <w:right w:val="single" w:sz="2" w:space="0" w:color="000000"/>
            </w:tcBorders>
          </w:tcPr>
          <w:p w14:paraId="26B95DD2" w14:textId="5AADAC2B"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1.6 m/s (HF-Radar classification – Green)</w:t>
            </w:r>
          </w:p>
        </w:tc>
        <w:tc>
          <w:tcPr>
            <w:tcW w:w="1678" w:type="dxa"/>
            <w:tcBorders>
              <w:top w:val="single" w:sz="2" w:space="0" w:color="000000"/>
              <w:left w:val="single" w:sz="2" w:space="0" w:color="000000"/>
              <w:right w:val="single" w:sz="2" w:space="0" w:color="000000"/>
            </w:tcBorders>
          </w:tcPr>
          <w:p w14:paraId="73BBB2DB" w14:textId="0D0246E3"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2.6 m/s (HF-Radar classification – Yellow/Orange)</w:t>
            </w:r>
          </w:p>
        </w:tc>
        <w:tc>
          <w:tcPr>
            <w:tcW w:w="1452" w:type="dxa"/>
            <w:tcBorders>
              <w:top w:val="single" w:sz="2" w:space="0" w:color="000000"/>
              <w:left w:val="single" w:sz="2" w:space="0" w:color="000000"/>
              <w:right w:val="single" w:sz="2" w:space="0" w:color="000000"/>
            </w:tcBorders>
          </w:tcPr>
          <w:p w14:paraId="61275B58" w14:textId="097C9835"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3.2 m/s (HF-Radar classification – Red)</w:t>
            </w:r>
          </w:p>
        </w:tc>
        <w:tc>
          <w:tcPr>
            <w:tcW w:w="1042" w:type="dxa"/>
            <w:tcBorders>
              <w:top w:val="single" w:sz="2" w:space="0" w:color="000000"/>
              <w:left w:val="single" w:sz="2" w:space="0" w:color="000000"/>
            </w:tcBorders>
            <w:vAlign w:val="center"/>
          </w:tcPr>
          <w:p w14:paraId="3DE82112" w14:textId="47FE73B3" w:rsidR="00C606FB" w:rsidRPr="0074508D"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74508D">
              <w:rPr>
                <w:rFonts w:asciiTheme="minorHAnsi" w:eastAsia="함초롬바탕" w:hAnsiTheme="minorHAnsi" w:cstheme="minorHAnsi"/>
                <w:color w:val="000000"/>
                <w:sz w:val="16"/>
                <w:szCs w:val="16"/>
                <w:lang w:eastAsia="ko-KR"/>
              </w:rPr>
              <w:t>&lt;4</w:t>
            </w:r>
            <w:r w:rsidR="00250BFD" w:rsidRPr="0074508D">
              <w:rPr>
                <w:rFonts w:asciiTheme="minorHAnsi" w:eastAsia="함초롬바탕" w:hAnsiTheme="minorHAnsi" w:cstheme="minorHAnsi" w:hint="eastAsia"/>
                <w:color w:val="000000"/>
                <w:sz w:val="16"/>
                <w:szCs w:val="16"/>
                <w:lang w:eastAsia="ko-KR"/>
              </w:rPr>
              <w:t xml:space="preserve"> </w:t>
            </w:r>
            <w:r w:rsidRPr="0074508D">
              <w:rPr>
                <w:rFonts w:asciiTheme="minorHAnsi" w:eastAsia="함초롬바탕" w:hAnsiTheme="minorHAnsi" w:cstheme="minorHAnsi"/>
                <w:color w:val="000000"/>
                <w:sz w:val="16"/>
                <w:szCs w:val="16"/>
                <w:lang w:eastAsia="ko-KR"/>
              </w:rPr>
              <w:t>lv&gt;</w:t>
            </w:r>
          </w:p>
          <w:p w14:paraId="0D497899" w14:textId="58414C2D" w:rsidR="00C606FB" w:rsidRPr="0074508D"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74508D">
              <w:rPr>
                <w:rFonts w:asciiTheme="minorHAnsi" w:hAnsiTheme="minorHAnsi" w:cstheme="minorHAnsi"/>
                <w:sz w:val="16"/>
                <w:szCs w:val="16"/>
              </w:rPr>
              <w:t>&gt; 3.2 m/s; if vessel speed–current diff ≥ 2.06 m/s (4 kts) → Stage 4</w:t>
            </w:r>
          </w:p>
        </w:tc>
        <w:tc>
          <w:tcPr>
            <w:tcW w:w="842" w:type="dxa"/>
            <w:tcBorders>
              <w:top w:val="single" w:sz="2" w:space="0" w:color="000000"/>
              <w:left w:val="single" w:sz="2" w:space="0" w:color="000000"/>
            </w:tcBorders>
            <w:vAlign w:val="center"/>
          </w:tcPr>
          <w:p w14:paraId="56A43CE1" w14:textId="07A96868" w:rsidR="00C606FB" w:rsidRPr="0074508D"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74508D">
              <w:rPr>
                <w:rFonts w:asciiTheme="minorHAnsi" w:eastAsia="함초롬바탕" w:hAnsiTheme="minorHAnsi" w:cstheme="minorHAnsi"/>
                <w:color w:val="000000"/>
                <w:sz w:val="16"/>
                <w:szCs w:val="16"/>
                <w:lang w:eastAsia="ko-KR"/>
              </w:rPr>
              <w:t>&lt;4.5</w:t>
            </w:r>
            <w:r w:rsidR="00250BFD" w:rsidRPr="0074508D">
              <w:rPr>
                <w:rFonts w:asciiTheme="minorHAnsi" w:eastAsia="함초롬바탕" w:hAnsiTheme="minorHAnsi" w:cstheme="minorHAnsi" w:hint="eastAsia"/>
                <w:color w:val="000000"/>
                <w:sz w:val="16"/>
                <w:szCs w:val="16"/>
                <w:lang w:eastAsia="ko-KR"/>
              </w:rPr>
              <w:t xml:space="preserve"> </w:t>
            </w:r>
            <w:r w:rsidRPr="0074508D">
              <w:rPr>
                <w:rFonts w:asciiTheme="minorHAnsi" w:eastAsia="함초롬바탕" w:hAnsiTheme="minorHAnsi" w:cstheme="minorHAnsi"/>
                <w:color w:val="000000"/>
                <w:sz w:val="16"/>
                <w:szCs w:val="16"/>
                <w:lang w:eastAsia="ko-KR"/>
              </w:rPr>
              <w:t>lv&gt;</w:t>
            </w:r>
          </w:p>
          <w:p w14:paraId="75C05F86" w14:textId="69550257" w:rsidR="00C606FB" w:rsidRPr="0074508D"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74508D">
              <w:rPr>
                <w:rFonts w:asciiTheme="minorHAnsi" w:hAnsiTheme="minorHAnsi" w:cstheme="minorHAnsi"/>
                <w:sz w:val="16"/>
                <w:szCs w:val="16"/>
              </w:rPr>
              <w:t>if &lt; 2.06 m/s →</w:t>
            </w:r>
          </w:p>
        </w:tc>
      </w:tr>
      <w:tr w:rsidR="00C606FB" w:rsidRPr="00944256" w14:paraId="6D16322E" w14:textId="77777777" w:rsidTr="00D77DB2">
        <w:trPr>
          <w:trHeight w:val="223"/>
        </w:trPr>
        <w:tc>
          <w:tcPr>
            <w:tcW w:w="819" w:type="dxa"/>
            <w:vMerge w:val="restart"/>
            <w:tcBorders>
              <w:top w:val="single" w:sz="2" w:space="0" w:color="000000"/>
              <w:right w:val="single" w:sz="2" w:space="0" w:color="000000"/>
            </w:tcBorders>
            <w:vAlign w:val="center"/>
          </w:tcPr>
          <w:p w14:paraId="6383DF9F" w14:textId="62757A7A"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Wind Speed</w:t>
            </w:r>
          </w:p>
        </w:tc>
        <w:tc>
          <w:tcPr>
            <w:tcW w:w="963" w:type="dxa"/>
            <w:tcBorders>
              <w:top w:val="single" w:sz="2" w:space="0" w:color="000000"/>
              <w:right w:val="single" w:sz="2" w:space="0" w:color="000000"/>
            </w:tcBorders>
            <w:vAlign w:val="center"/>
          </w:tcPr>
          <w:p w14:paraId="5526C94A" w14:textId="5324079C"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General</w:t>
            </w:r>
            <w:r w:rsidRPr="00C606FB">
              <w:rPr>
                <w:rFonts w:asciiTheme="minorHAnsi" w:hAnsiTheme="minorHAnsi" w:cstheme="minorHAnsi"/>
                <w:sz w:val="16"/>
                <w:szCs w:val="16"/>
                <w:lang w:eastAsia="ko-KR"/>
              </w:rPr>
              <w:t xml:space="preserve"> Vessel</w:t>
            </w:r>
          </w:p>
        </w:tc>
        <w:tc>
          <w:tcPr>
            <w:tcW w:w="1415" w:type="dxa"/>
            <w:tcBorders>
              <w:top w:val="single" w:sz="2" w:space="0" w:color="000000"/>
              <w:left w:val="single" w:sz="2" w:space="0" w:color="000000"/>
              <w:bottom w:val="single" w:sz="2" w:space="0" w:color="000000"/>
              <w:right w:val="single" w:sz="2" w:space="0" w:color="000000"/>
            </w:tcBorders>
          </w:tcPr>
          <w:p w14:paraId="36B16E5E" w14:textId="1CEA2A25"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5.4 m/s (Beaufort 3)</w:t>
            </w:r>
          </w:p>
        </w:tc>
        <w:tc>
          <w:tcPr>
            <w:tcW w:w="1415" w:type="dxa"/>
            <w:tcBorders>
              <w:top w:val="single" w:sz="2" w:space="0" w:color="000000"/>
              <w:left w:val="single" w:sz="2" w:space="0" w:color="000000"/>
              <w:bottom w:val="single" w:sz="2" w:space="0" w:color="000000"/>
              <w:right w:val="single" w:sz="2" w:space="0" w:color="000000"/>
            </w:tcBorders>
          </w:tcPr>
          <w:p w14:paraId="7381DBA1" w14:textId="5E5F8663"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10.7 m/s (Beaufort 4–5)</w:t>
            </w:r>
          </w:p>
        </w:tc>
        <w:tc>
          <w:tcPr>
            <w:tcW w:w="1678" w:type="dxa"/>
            <w:tcBorders>
              <w:top w:val="single" w:sz="2" w:space="0" w:color="000000"/>
              <w:left w:val="single" w:sz="2" w:space="0" w:color="000000"/>
              <w:bottom w:val="single" w:sz="2" w:space="0" w:color="000000"/>
              <w:right w:val="single" w:sz="2" w:space="0" w:color="000000"/>
            </w:tcBorders>
          </w:tcPr>
          <w:p w14:paraId="70DB6B2D" w14:textId="11B35F9B"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13.8 m/s (Beaufort 6)</w:t>
            </w:r>
          </w:p>
        </w:tc>
        <w:tc>
          <w:tcPr>
            <w:tcW w:w="1452" w:type="dxa"/>
            <w:tcBorders>
              <w:top w:val="single" w:sz="2" w:space="0" w:color="000000"/>
              <w:left w:val="single" w:sz="2" w:space="0" w:color="000000"/>
              <w:bottom w:val="single" w:sz="2" w:space="0" w:color="000000"/>
              <w:right w:val="single" w:sz="2" w:space="0" w:color="000000"/>
            </w:tcBorders>
          </w:tcPr>
          <w:p w14:paraId="2C32C9C3" w14:textId="013636FF"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pacing w:val="-17"/>
                <w:sz w:val="16"/>
                <w:szCs w:val="16"/>
                <w:lang w:eastAsia="ko-KR"/>
              </w:rPr>
            </w:pPr>
            <w:r w:rsidRPr="00C606FB">
              <w:rPr>
                <w:rFonts w:asciiTheme="minorHAnsi" w:hAnsiTheme="minorHAnsi" w:cstheme="minorHAnsi"/>
                <w:sz w:val="16"/>
                <w:szCs w:val="16"/>
              </w:rPr>
              <w:t>≤ 17.1 m/s (Beaufort 7; domestic strong wind advisory)</w:t>
            </w:r>
          </w:p>
        </w:tc>
        <w:tc>
          <w:tcPr>
            <w:tcW w:w="1884" w:type="dxa"/>
            <w:gridSpan w:val="2"/>
            <w:tcBorders>
              <w:top w:val="single" w:sz="2" w:space="0" w:color="000000"/>
              <w:left w:val="single" w:sz="2" w:space="0" w:color="000000"/>
              <w:bottom w:val="single" w:sz="2" w:space="0" w:color="000000"/>
            </w:tcBorders>
          </w:tcPr>
          <w:p w14:paraId="2B0B5705" w14:textId="4E55F6BC"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sidRPr="00C606FB">
              <w:rPr>
                <w:rFonts w:asciiTheme="minorHAnsi" w:hAnsiTheme="minorHAnsi" w:cstheme="minorHAnsi"/>
                <w:sz w:val="16"/>
                <w:szCs w:val="16"/>
              </w:rPr>
              <w:t>≥ 17.2 m/s (Beaufort 8; small typhoon threshold)</w:t>
            </w:r>
          </w:p>
        </w:tc>
      </w:tr>
      <w:tr w:rsidR="00C606FB" w:rsidRPr="00944256" w14:paraId="08A10BFB" w14:textId="77777777" w:rsidTr="00D77DB2">
        <w:trPr>
          <w:trHeight w:val="8"/>
        </w:trPr>
        <w:tc>
          <w:tcPr>
            <w:tcW w:w="819" w:type="dxa"/>
            <w:vMerge/>
            <w:tcBorders>
              <w:bottom w:val="single" w:sz="2" w:space="0" w:color="000000"/>
              <w:right w:val="single" w:sz="2" w:space="0" w:color="000000"/>
            </w:tcBorders>
            <w:vAlign w:val="center"/>
          </w:tcPr>
          <w:p w14:paraId="079006FA" w14:textId="77777777"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p>
        </w:tc>
        <w:tc>
          <w:tcPr>
            <w:tcW w:w="963" w:type="dxa"/>
            <w:tcBorders>
              <w:bottom w:val="single" w:sz="2" w:space="0" w:color="000000"/>
              <w:right w:val="single" w:sz="2" w:space="0" w:color="000000"/>
            </w:tcBorders>
            <w:vAlign w:val="center"/>
          </w:tcPr>
          <w:p w14:paraId="3B684677" w14:textId="718DC1EE"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Small Vessel</w:t>
            </w:r>
          </w:p>
        </w:tc>
        <w:tc>
          <w:tcPr>
            <w:tcW w:w="1415" w:type="dxa"/>
            <w:tcBorders>
              <w:top w:val="single" w:sz="2" w:space="0" w:color="000000"/>
              <w:left w:val="single" w:sz="2" w:space="0" w:color="000000"/>
              <w:bottom w:val="single" w:sz="2" w:space="0" w:color="000000"/>
              <w:right w:val="single" w:sz="2" w:space="0" w:color="000000"/>
            </w:tcBorders>
          </w:tcPr>
          <w:p w14:paraId="5B2F8A91" w14:textId="43CDDE0A"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 5.4 m/s</w:t>
            </w:r>
          </w:p>
        </w:tc>
        <w:tc>
          <w:tcPr>
            <w:tcW w:w="1415" w:type="dxa"/>
            <w:tcBorders>
              <w:top w:val="single" w:sz="2" w:space="0" w:color="000000"/>
              <w:left w:val="single" w:sz="2" w:space="0" w:color="000000"/>
              <w:bottom w:val="single" w:sz="2" w:space="0" w:color="000000"/>
              <w:right w:val="single" w:sz="2" w:space="0" w:color="000000"/>
            </w:tcBorders>
          </w:tcPr>
          <w:p w14:paraId="4202BEED" w14:textId="6C98D0AD" w:rsidR="00C606FB" w:rsidRPr="00C606FB" w:rsidRDefault="00C606FB" w:rsidP="00C606FB">
            <w:pPr>
              <w:adjustRightInd w:val="0"/>
              <w:spacing w:line="384" w:lineRule="auto"/>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 7 m/s (Navigation Index Stage 1)</w:t>
            </w:r>
          </w:p>
        </w:tc>
        <w:tc>
          <w:tcPr>
            <w:tcW w:w="1678" w:type="dxa"/>
            <w:tcBorders>
              <w:top w:val="single" w:sz="2" w:space="0" w:color="000000"/>
              <w:left w:val="single" w:sz="2" w:space="0" w:color="000000"/>
              <w:bottom w:val="single" w:sz="2" w:space="0" w:color="000000"/>
              <w:right w:val="single" w:sz="2" w:space="0" w:color="000000"/>
            </w:tcBorders>
          </w:tcPr>
          <w:p w14:paraId="42F2C2E8" w14:textId="05312A5F"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lang w:eastAsia="ko-KR"/>
              </w:rPr>
            </w:pPr>
            <w:r w:rsidRPr="00C606FB">
              <w:rPr>
                <w:rFonts w:asciiTheme="minorHAnsi" w:hAnsiTheme="minorHAnsi" w:cstheme="minorHAnsi"/>
                <w:sz w:val="16"/>
                <w:szCs w:val="16"/>
              </w:rPr>
              <w:t>≤ 10 m/s (Navigation Index Stage 2)</w:t>
            </w:r>
          </w:p>
        </w:tc>
        <w:tc>
          <w:tcPr>
            <w:tcW w:w="1452" w:type="dxa"/>
            <w:tcBorders>
              <w:top w:val="single" w:sz="2" w:space="0" w:color="000000"/>
              <w:left w:val="single" w:sz="2" w:space="0" w:color="000000"/>
              <w:bottom w:val="single" w:sz="2" w:space="0" w:color="000000"/>
              <w:right w:val="single" w:sz="2" w:space="0" w:color="000000"/>
            </w:tcBorders>
          </w:tcPr>
          <w:p w14:paraId="153BA836" w14:textId="26B8C39D"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sidRPr="00C606FB">
              <w:rPr>
                <w:rFonts w:asciiTheme="minorHAnsi" w:hAnsiTheme="minorHAnsi" w:cstheme="minorHAnsi"/>
                <w:sz w:val="16"/>
                <w:szCs w:val="16"/>
              </w:rPr>
              <w:t>≤ 14 m/s (Navigation Index Stage 3)</w:t>
            </w:r>
          </w:p>
        </w:tc>
        <w:tc>
          <w:tcPr>
            <w:tcW w:w="1884" w:type="dxa"/>
            <w:gridSpan w:val="2"/>
            <w:tcBorders>
              <w:top w:val="single" w:sz="2" w:space="0" w:color="000000"/>
              <w:left w:val="single" w:sz="2" w:space="0" w:color="000000"/>
              <w:bottom w:val="single" w:sz="2" w:space="0" w:color="000000"/>
            </w:tcBorders>
          </w:tcPr>
          <w:p w14:paraId="18F4F67E" w14:textId="2674632A"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sidRPr="00C606FB">
              <w:rPr>
                <w:rFonts w:asciiTheme="minorHAnsi" w:hAnsiTheme="minorHAnsi" w:cstheme="minorHAnsi"/>
                <w:sz w:val="16"/>
                <w:szCs w:val="16"/>
              </w:rPr>
              <w:t>&gt; 14 m/s (Navigation Index Stage 4)</w:t>
            </w:r>
          </w:p>
        </w:tc>
      </w:tr>
      <w:tr w:rsidR="00C606FB" w:rsidRPr="003A1031" w14:paraId="1A626994" w14:textId="77777777" w:rsidTr="00D77DB2">
        <w:trPr>
          <w:trHeight w:val="531"/>
        </w:trPr>
        <w:tc>
          <w:tcPr>
            <w:tcW w:w="1782" w:type="dxa"/>
            <w:gridSpan w:val="2"/>
            <w:tcBorders>
              <w:top w:val="single" w:sz="2" w:space="0" w:color="000000"/>
              <w:bottom w:val="single" w:sz="2" w:space="0" w:color="000000"/>
              <w:right w:val="single" w:sz="2" w:space="0" w:color="000000"/>
            </w:tcBorders>
          </w:tcPr>
          <w:p w14:paraId="2555453F" w14:textId="2B760280"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Visibility (km)</w:t>
            </w:r>
          </w:p>
        </w:tc>
        <w:tc>
          <w:tcPr>
            <w:tcW w:w="1415" w:type="dxa"/>
            <w:tcBorders>
              <w:top w:val="single" w:sz="2" w:space="0" w:color="000000"/>
              <w:left w:val="single" w:sz="2" w:space="0" w:color="000000"/>
              <w:bottom w:val="single" w:sz="2" w:space="0" w:color="000000"/>
              <w:right w:val="single" w:sz="2" w:space="0" w:color="000000"/>
            </w:tcBorders>
          </w:tcPr>
          <w:p w14:paraId="7D7B5EC2" w14:textId="7070BEEB"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&gt; 11.1 km (≥ 6 NM)</w:t>
            </w:r>
          </w:p>
        </w:tc>
        <w:tc>
          <w:tcPr>
            <w:tcW w:w="1415" w:type="dxa"/>
            <w:tcBorders>
              <w:top w:val="single" w:sz="2" w:space="0" w:color="000000"/>
              <w:left w:val="single" w:sz="2" w:space="0" w:color="000000"/>
              <w:bottom w:val="single" w:sz="2" w:space="0" w:color="000000"/>
              <w:right w:val="single" w:sz="2" w:space="0" w:color="000000"/>
            </w:tcBorders>
          </w:tcPr>
          <w:p w14:paraId="52315C56" w14:textId="682F1E15"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w w:val="90"/>
                <w:sz w:val="16"/>
                <w:szCs w:val="16"/>
                <w:lang w:eastAsia="ko-KR"/>
              </w:rPr>
            </w:pPr>
            <w:r w:rsidRPr="00C606FB">
              <w:rPr>
                <w:rFonts w:asciiTheme="minorHAnsi" w:hAnsiTheme="minorHAnsi" w:cstheme="minorHAnsi"/>
                <w:sz w:val="16"/>
                <w:szCs w:val="16"/>
              </w:rPr>
              <w:t>11.1–5.5 km (6–3 NM, mast light visibility of ships ≥ 50 m restricted)</w:t>
            </w:r>
          </w:p>
        </w:tc>
        <w:tc>
          <w:tcPr>
            <w:tcW w:w="1678" w:type="dxa"/>
            <w:tcBorders>
              <w:top w:val="single" w:sz="2" w:space="0" w:color="000000"/>
              <w:left w:val="single" w:sz="2" w:space="0" w:color="000000"/>
              <w:bottom w:val="single" w:sz="2" w:space="0" w:color="000000"/>
              <w:right w:val="single" w:sz="2" w:space="0" w:color="000000"/>
            </w:tcBorders>
          </w:tcPr>
          <w:p w14:paraId="2F353A58" w14:textId="4A120590"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~5.5–1.85 km (3–1 NM, all lights restricted, fog signal zone)</w:t>
            </w:r>
          </w:p>
        </w:tc>
        <w:tc>
          <w:tcPr>
            <w:tcW w:w="1452" w:type="dxa"/>
            <w:tcBorders>
              <w:top w:val="single" w:sz="2" w:space="0" w:color="000000"/>
              <w:left w:val="single" w:sz="2" w:space="0" w:color="000000"/>
              <w:bottom w:val="single" w:sz="2" w:space="0" w:color="000000"/>
              <w:right w:val="single" w:sz="2" w:space="0" w:color="000000"/>
            </w:tcBorders>
          </w:tcPr>
          <w:p w14:paraId="718B5D47" w14:textId="46772D8B" w:rsidR="00C606FB" w:rsidRPr="00C606FB" w:rsidRDefault="00C606FB" w:rsidP="00C606FB">
            <w:pPr>
              <w:adjustRightInd w:val="0"/>
              <w:spacing w:line="384" w:lineRule="auto"/>
              <w:jc w:val="center"/>
              <w:textAlignment w:val="baseline"/>
              <w:rPr>
                <w:rFonts w:asciiTheme="minorHAnsi" w:eastAsia="함초롬바탕" w:hAnsiTheme="minorHAnsi" w:cstheme="minorHAnsi"/>
                <w:b/>
                <w:bCs/>
                <w:color w:val="000000"/>
                <w:sz w:val="16"/>
                <w:szCs w:val="16"/>
                <w:lang w:eastAsia="ko-KR"/>
              </w:rPr>
            </w:pPr>
            <w:r w:rsidRPr="00C606FB">
              <w:rPr>
                <w:rFonts w:asciiTheme="minorHAnsi" w:hAnsiTheme="minorHAnsi" w:cstheme="minorHAnsi"/>
                <w:sz w:val="16"/>
                <w:szCs w:val="16"/>
              </w:rPr>
              <w:t>1.85–1 km (Pilotage minimum requirement)</w:t>
            </w:r>
          </w:p>
        </w:tc>
        <w:tc>
          <w:tcPr>
            <w:tcW w:w="1884" w:type="dxa"/>
            <w:gridSpan w:val="2"/>
            <w:tcBorders>
              <w:top w:val="single" w:sz="2" w:space="0" w:color="000000"/>
              <w:left w:val="single" w:sz="2" w:space="0" w:color="000000"/>
              <w:bottom w:val="single" w:sz="2" w:space="0" w:color="000000"/>
            </w:tcBorders>
          </w:tcPr>
          <w:p w14:paraId="4B0F05E8" w14:textId="58E9C06E"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&lt; 1 km (Maritime Safety Act; passenger vessel navigation prohibited)</w:t>
            </w:r>
          </w:p>
        </w:tc>
      </w:tr>
      <w:tr w:rsidR="00C606FB" w:rsidRPr="003A1031" w14:paraId="6BA161E1" w14:textId="77777777" w:rsidTr="00D77DB2">
        <w:trPr>
          <w:trHeight w:val="25"/>
        </w:trPr>
        <w:tc>
          <w:tcPr>
            <w:tcW w:w="1782" w:type="dxa"/>
            <w:gridSpan w:val="2"/>
            <w:tcBorders>
              <w:top w:val="single" w:sz="2" w:space="0" w:color="000000"/>
              <w:bottom w:val="single" w:sz="2" w:space="0" w:color="000000"/>
              <w:right w:val="single" w:sz="2" w:space="0" w:color="000000"/>
            </w:tcBorders>
          </w:tcPr>
          <w:p w14:paraId="5BEE134E" w14:textId="74204F77"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Individual Index</w:t>
            </w:r>
          </w:p>
        </w:tc>
        <w:tc>
          <w:tcPr>
            <w:tcW w:w="1415" w:type="dxa"/>
            <w:tcBorders>
              <w:top w:val="single" w:sz="2" w:space="0" w:color="000000"/>
              <w:left w:val="single" w:sz="2" w:space="0" w:color="000000"/>
              <w:bottom w:val="single" w:sz="2" w:space="0" w:color="000000"/>
              <w:right w:val="single" w:sz="2" w:space="0" w:color="000000"/>
            </w:tcBorders>
          </w:tcPr>
          <w:p w14:paraId="57677033" w14:textId="019FDC13"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0–1</w:t>
            </w:r>
          </w:p>
        </w:tc>
        <w:tc>
          <w:tcPr>
            <w:tcW w:w="1415" w:type="dxa"/>
            <w:tcBorders>
              <w:top w:val="single" w:sz="2" w:space="0" w:color="000000"/>
              <w:left w:val="single" w:sz="2" w:space="0" w:color="000000"/>
              <w:bottom w:val="single" w:sz="2" w:space="0" w:color="000000"/>
              <w:right w:val="single" w:sz="2" w:space="0" w:color="000000"/>
            </w:tcBorders>
          </w:tcPr>
          <w:p w14:paraId="36483EB4" w14:textId="2F7307A9"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1–2</w:t>
            </w:r>
          </w:p>
        </w:tc>
        <w:tc>
          <w:tcPr>
            <w:tcW w:w="1678" w:type="dxa"/>
            <w:tcBorders>
              <w:top w:val="single" w:sz="2" w:space="0" w:color="000000"/>
              <w:left w:val="single" w:sz="2" w:space="0" w:color="000000"/>
              <w:bottom w:val="single" w:sz="2" w:space="0" w:color="000000"/>
              <w:right w:val="single" w:sz="2" w:space="0" w:color="000000"/>
            </w:tcBorders>
          </w:tcPr>
          <w:p w14:paraId="0C9A41A1" w14:textId="08CD2B18"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2–3</w:t>
            </w:r>
          </w:p>
        </w:tc>
        <w:tc>
          <w:tcPr>
            <w:tcW w:w="1452" w:type="dxa"/>
            <w:tcBorders>
              <w:top w:val="single" w:sz="2" w:space="0" w:color="000000"/>
              <w:left w:val="single" w:sz="2" w:space="0" w:color="000000"/>
              <w:bottom w:val="single" w:sz="2" w:space="0" w:color="000000"/>
              <w:right w:val="single" w:sz="2" w:space="0" w:color="000000"/>
            </w:tcBorders>
          </w:tcPr>
          <w:p w14:paraId="14D486D9" w14:textId="521DAED6"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3–4</w:t>
            </w:r>
          </w:p>
        </w:tc>
        <w:tc>
          <w:tcPr>
            <w:tcW w:w="1884" w:type="dxa"/>
            <w:gridSpan w:val="2"/>
            <w:tcBorders>
              <w:top w:val="single" w:sz="2" w:space="0" w:color="000000"/>
              <w:left w:val="single" w:sz="2" w:space="0" w:color="000000"/>
              <w:bottom w:val="single" w:sz="2" w:space="0" w:color="000000"/>
            </w:tcBorders>
          </w:tcPr>
          <w:p w14:paraId="3845DFA4" w14:textId="5A08E393" w:rsidR="00C606FB" w:rsidRPr="00C606FB" w:rsidRDefault="00C606FB" w:rsidP="00C606FB">
            <w:pPr>
              <w:adjustRightInd w:val="0"/>
              <w:spacing w:line="384" w:lineRule="auto"/>
              <w:jc w:val="center"/>
              <w:textAlignment w:val="baseline"/>
              <w:rPr>
                <w:rFonts w:asciiTheme="minorHAnsi" w:eastAsia="함초롬바탕" w:hAnsiTheme="minorHAnsi" w:cstheme="minorHAnsi"/>
                <w:color w:val="000000"/>
                <w:sz w:val="16"/>
                <w:szCs w:val="16"/>
              </w:rPr>
            </w:pPr>
            <w:r w:rsidRPr="00C606FB">
              <w:rPr>
                <w:rFonts w:asciiTheme="minorHAnsi" w:hAnsiTheme="minorHAnsi" w:cstheme="minorHAnsi"/>
                <w:sz w:val="16"/>
                <w:szCs w:val="16"/>
              </w:rPr>
              <w:t>4+</w:t>
            </w:r>
          </w:p>
        </w:tc>
      </w:tr>
    </w:tbl>
    <w:p w14:paraId="23A7994A" w14:textId="77777777" w:rsidR="00F2115A" w:rsidRDefault="00F2115A" w:rsidP="00F2115A">
      <w:pPr>
        <w:pStyle w:val="Heading2"/>
        <w:rPr>
          <w:rFonts w:eastAsia="Malgun Gothic"/>
          <w:lang w:eastAsia="ko-KR"/>
        </w:rPr>
      </w:pPr>
      <w:r w:rsidRPr="00994D96">
        <w:rPr>
          <w:rFonts w:eastAsia="Malgun Gothic"/>
          <w:lang w:eastAsia="ko-KR"/>
        </w:rPr>
        <w:t>A</w:t>
      </w:r>
      <w:r>
        <w:rPr>
          <w:rFonts w:eastAsia="Malgun Gothic" w:hint="eastAsia"/>
          <w:lang w:eastAsia="ko-KR"/>
        </w:rPr>
        <w:t>PPLICATION AND UTILIZATION OF THE MODEL</w:t>
      </w:r>
    </w:p>
    <w:p w14:paraId="109C9478" w14:textId="130698D7" w:rsidR="007C0AF2" w:rsidRPr="00575A60" w:rsidRDefault="007C0AF2" w:rsidP="007C0AF2">
      <w:pPr>
        <w:pStyle w:val="NormalWeb"/>
        <w:rPr>
          <w:rFonts w:asciiTheme="minorHAnsi" w:hAnsiTheme="minorHAnsi" w:cstheme="minorHAnsi"/>
          <w:sz w:val="22"/>
          <w:szCs w:val="22"/>
        </w:rPr>
      </w:pPr>
      <w:r w:rsidRPr="00575A60">
        <w:rPr>
          <w:rFonts w:asciiTheme="minorHAnsi" w:hAnsiTheme="minorHAnsi" w:cstheme="minorHAnsi"/>
          <w:sz w:val="22"/>
          <w:szCs w:val="22"/>
        </w:rPr>
        <w:t>The MHFI is calculated based on numerical weather and ocean forecast data, and once fully developed</w:t>
      </w:r>
      <w:r w:rsidR="00363C34">
        <w:rPr>
          <w:rFonts w:asciiTheme="minorHAnsi" w:hAnsiTheme="minorHAnsi" w:cstheme="minorHAnsi" w:hint="eastAsia"/>
          <w:sz w:val="22"/>
          <w:szCs w:val="22"/>
        </w:rPr>
        <w:t>,</w:t>
      </w:r>
      <w:r w:rsidRPr="00575A60">
        <w:rPr>
          <w:rFonts w:asciiTheme="minorHAnsi" w:hAnsiTheme="minorHAnsi" w:cstheme="minorHAnsi"/>
          <w:sz w:val="22"/>
          <w:szCs w:val="22"/>
        </w:rPr>
        <w:t xml:space="preserve"> it is structured to immediately incorporate real-time forecast inputs. This enables the early detection and dynamic evaluation of hazardous conditions, </w:t>
      </w:r>
      <w:r w:rsidR="00363C34">
        <w:rPr>
          <w:rFonts w:asciiTheme="minorHAnsi" w:hAnsiTheme="minorHAnsi" w:cstheme="minorHAnsi" w:hint="eastAsia"/>
          <w:sz w:val="22"/>
          <w:szCs w:val="22"/>
        </w:rPr>
        <w:t>thus</w:t>
      </w:r>
      <w:r w:rsidRPr="00575A60">
        <w:rPr>
          <w:rFonts w:asciiTheme="minorHAnsi" w:hAnsiTheme="minorHAnsi" w:cstheme="minorHAnsi"/>
          <w:sz w:val="22"/>
          <w:szCs w:val="22"/>
        </w:rPr>
        <w:t xml:space="preserve"> providing</w:t>
      </w:r>
      <w:r w:rsidR="00363C34">
        <w:rPr>
          <w:rFonts w:asciiTheme="minorHAnsi" w:hAnsiTheme="minorHAnsi" w:cstheme="minorHAnsi" w:hint="eastAsia"/>
          <w:sz w:val="22"/>
          <w:szCs w:val="22"/>
        </w:rPr>
        <w:t xml:space="preserve"> an</w:t>
      </w:r>
      <w:r w:rsidRPr="00575A60">
        <w:rPr>
          <w:rFonts w:asciiTheme="minorHAnsi" w:hAnsiTheme="minorHAnsi" w:cstheme="minorHAnsi"/>
          <w:sz w:val="22"/>
          <w:szCs w:val="22"/>
        </w:rPr>
        <w:t xml:space="preserve"> effective decision-making support for navigators.</w:t>
      </w:r>
    </w:p>
    <w:p w14:paraId="61F88799" w14:textId="107E347E" w:rsidR="007C0AF2" w:rsidRPr="007C0AF2" w:rsidRDefault="007C0AF2" w:rsidP="007C0AF2">
      <w:pPr>
        <w:pStyle w:val="NormalWeb"/>
        <w:rPr>
          <w:rFonts w:asciiTheme="minorHAnsi" w:hAnsiTheme="minorHAnsi" w:cstheme="minorHAnsi"/>
          <w:sz w:val="22"/>
          <w:szCs w:val="22"/>
        </w:rPr>
      </w:pPr>
      <w:r w:rsidRPr="007C0AF2">
        <w:rPr>
          <w:rFonts w:asciiTheme="minorHAnsi" w:hAnsiTheme="minorHAnsi" w:cstheme="minorHAnsi"/>
          <w:sz w:val="22"/>
          <w:szCs w:val="22"/>
        </w:rPr>
        <w:t xml:space="preserve">The MHFI also offers the advantage of visualization on S-100 based electronic charts (ECDIS). Risk levels are displayed using a color scheme from LV0 to LV4 (green–yellow–orange–red–crimson), allowing mariners and authorities to </w:t>
      </w:r>
      <w:r w:rsidR="00363C34">
        <w:rPr>
          <w:rFonts w:asciiTheme="minorHAnsi" w:hAnsiTheme="minorHAnsi" w:cstheme="minorHAnsi"/>
          <w:sz w:val="22"/>
          <w:szCs w:val="22"/>
        </w:rPr>
        <w:t>easily</w:t>
      </w:r>
      <w:r w:rsidRPr="007C0AF2">
        <w:rPr>
          <w:rFonts w:asciiTheme="minorHAnsi" w:hAnsiTheme="minorHAnsi" w:cstheme="minorHAnsi"/>
          <w:sz w:val="22"/>
          <w:szCs w:val="22"/>
        </w:rPr>
        <w:t xml:space="preserve"> identify risk conditions directly </w:t>
      </w:r>
      <w:r w:rsidR="00363C34">
        <w:rPr>
          <w:rFonts w:asciiTheme="minorHAnsi" w:hAnsiTheme="minorHAnsi" w:cstheme="minorHAnsi" w:hint="eastAsia"/>
          <w:sz w:val="22"/>
          <w:szCs w:val="22"/>
        </w:rPr>
        <w:t>from</w:t>
      </w:r>
      <w:r w:rsidRPr="007C0AF2">
        <w:rPr>
          <w:rFonts w:asciiTheme="minorHAnsi" w:hAnsiTheme="minorHAnsi" w:cstheme="minorHAnsi"/>
          <w:sz w:val="22"/>
          <w:szCs w:val="22"/>
        </w:rPr>
        <w:t xml:space="preserve"> the chart. By presenting </w:t>
      </w:r>
      <w:r w:rsidR="00363C34" w:rsidRPr="00363C34">
        <w:rPr>
          <w:rFonts w:asciiTheme="minorHAnsi" w:hAnsiTheme="minorHAnsi" w:cstheme="minorHAnsi"/>
          <w:sz w:val="22"/>
          <w:szCs w:val="22"/>
        </w:rPr>
        <w:t>risks as</w:t>
      </w:r>
      <w:r w:rsidRPr="007C0AF2">
        <w:rPr>
          <w:rFonts w:asciiTheme="minorHAnsi" w:hAnsiTheme="minorHAnsi" w:cstheme="minorHAnsi"/>
          <w:sz w:val="22"/>
          <w:szCs w:val="22"/>
        </w:rPr>
        <w:t xml:space="preserve"> spatial and visual information</w:t>
      </w:r>
      <w:r w:rsidR="00363C34">
        <w:rPr>
          <w:rFonts w:asciiTheme="minorHAnsi" w:hAnsiTheme="minorHAnsi" w:cstheme="minorHAnsi" w:hint="eastAsia"/>
          <w:sz w:val="22"/>
          <w:szCs w:val="22"/>
        </w:rPr>
        <w:t xml:space="preserve"> </w:t>
      </w:r>
      <w:r w:rsidR="00363C34" w:rsidRPr="00363C34">
        <w:rPr>
          <w:rFonts w:asciiTheme="minorHAnsi" w:hAnsiTheme="minorHAnsi" w:cstheme="minorHAnsi"/>
          <w:sz w:val="22"/>
          <w:szCs w:val="22"/>
        </w:rPr>
        <w:t>rather than abstract numbers</w:t>
      </w:r>
      <w:r w:rsidRPr="007C0AF2">
        <w:rPr>
          <w:rFonts w:asciiTheme="minorHAnsi" w:hAnsiTheme="minorHAnsi" w:cstheme="minorHAnsi"/>
          <w:sz w:val="22"/>
          <w:szCs w:val="22"/>
        </w:rPr>
        <w:t xml:space="preserve">, MHFI enables immediate decision-making support in </w:t>
      </w:r>
      <w:r w:rsidR="00363C34">
        <w:rPr>
          <w:rFonts w:asciiTheme="minorHAnsi" w:hAnsiTheme="minorHAnsi" w:cstheme="minorHAnsi" w:hint="eastAsia"/>
          <w:sz w:val="22"/>
          <w:szCs w:val="22"/>
        </w:rPr>
        <w:t>real-world</w:t>
      </w:r>
      <w:r w:rsidRPr="007C0AF2">
        <w:rPr>
          <w:rFonts w:asciiTheme="minorHAnsi" w:hAnsiTheme="minorHAnsi" w:cstheme="minorHAnsi"/>
          <w:sz w:val="22"/>
          <w:szCs w:val="22"/>
        </w:rPr>
        <w:t xml:space="preserve"> navigation environments.</w:t>
      </w:r>
    </w:p>
    <w:p w14:paraId="1676E7C7" w14:textId="1C0E29DC" w:rsidR="007C0AF2" w:rsidRPr="007C0AF2" w:rsidRDefault="007C0AF2" w:rsidP="007C0AF2">
      <w:pPr>
        <w:pStyle w:val="NormalWeb"/>
        <w:rPr>
          <w:rFonts w:asciiTheme="minorHAnsi" w:hAnsiTheme="minorHAnsi" w:cstheme="minorHAnsi"/>
          <w:sz w:val="22"/>
          <w:szCs w:val="22"/>
        </w:rPr>
      </w:pPr>
      <w:r w:rsidRPr="007C0AF2">
        <w:rPr>
          <w:rFonts w:asciiTheme="minorHAnsi" w:hAnsiTheme="minorHAnsi" w:cstheme="minorHAnsi"/>
          <w:sz w:val="22"/>
          <w:szCs w:val="22"/>
        </w:rPr>
        <w:t>As an environment-based index, the MHFI provides a new capability to quantitatively assess maritime risks, distinguishing it from the traffic-centered tools</w:t>
      </w:r>
      <w:r w:rsidR="00363C34">
        <w:rPr>
          <w:rFonts w:asciiTheme="minorHAnsi" w:hAnsiTheme="minorHAnsi" w:cstheme="minorHAnsi" w:hint="eastAsia"/>
          <w:sz w:val="22"/>
          <w:szCs w:val="22"/>
        </w:rPr>
        <w:t xml:space="preserve"> that are</w:t>
      </w:r>
      <w:r w:rsidRPr="007C0AF2">
        <w:rPr>
          <w:rFonts w:asciiTheme="minorHAnsi" w:hAnsiTheme="minorHAnsi" w:cstheme="minorHAnsi"/>
          <w:sz w:val="22"/>
          <w:szCs w:val="22"/>
        </w:rPr>
        <w:t xml:space="preserve"> currently available. Future research will aim to combine the MHFI with additional environmental factors, further advancing it into a more sophisticated maritime risk assessment model.</w:t>
      </w:r>
    </w:p>
    <w:p w14:paraId="1D083D92" w14:textId="77777777" w:rsidR="00180DDA" w:rsidRPr="007A395D" w:rsidRDefault="00180DDA" w:rsidP="00605E43">
      <w:pPr>
        <w:pStyle w:val="Heading1"/>
      </w:pPr>
      <w:r w:rsidRPr="007A395D">
        <w:t>References</w:t>
      </w:r>
    </w:p>
    <w:p w14:paraId="0024A396" w14:textId="77777777" w:rsidR="008945F8" w:rsidRDefault="008945F8" w:rsidP="00180DDA">
      <w:pPr>
        <w:pStyle w:val="References"/>
        <w:rPr>
          <w:rFonts w:ascii="Calibri" w:hAnsi="Calibri"/>
          <w:lang w:eastAsia="de-DE"/>
        </w:rPr>
      </w:pPr>
      <w:r w:rsidRPr="008945F8">
        <w:rPr>
          <w:rFonts w:ascii="Calibri" w:hAnsi="Calibri"/>
        </w:rPr>
        <w:t>IALA, Guideline G1018, Risk Management, Edition 4.0, June 2022.</w:t>
      </w:r>
    </w:p>
    <w:p w14:paraId="4545D693" w14:textId="23D1AB2A" w:rsidR="00004B7D" w:rsidRDefault="00004B7D" w:rsidP="00180DDA">
      <w:pPr>
        <w:pStyle w:val="References"/>
        <w:rPr>
          <w:rFonts w:ascii="Calibri" w:hAnsi="Calibri"/>
          <w:lang w:eastAsia="de-DE"/>
        </w:rPr>
      </w:pPr>
      <w:r w:rsidRPr="00004B7D">
        <w:rPr>
          <w:rFonts w:ascii="Calibri" w:hAnsi="Calibri"/>
          <w:lang w:eastAsia="de-DE"/>
        </w:rPr>
        <w:t xml:space="preserve">Korea Hydrographic and Oceanographic Agency (KHOA), Official Website, </w:t>
      </w:r>
      <w:hyperlink r:id="rId16" w:tgtFrame="_new" w:history="1">
        <w:r w:rsidRPr="00004B7D">
          <w:rPr>
            <w:rStyle w:val="Hyperlink"/>
            <w:rFonts w:ascii="Calibri" w:hAnsi="Calibri"/>
            <w:lang w:eastAsia="de-DE"/>
          </w:rPr>
          <w:t>https://www.khoa.go.kr</w:t>
        </w:r>
      </w:hyperlink>
      <w:r w:rsidRPr="00004B7D">
        <w:rPr>
          <w:rFonts w:ascii="Calibri" w:hAnsi="Calibri"/>
          <w:lang w:eastAsia="de-DE"/>
        </w:rPr>
        <w:t>.</w:t>
      </w:r>
    </w:p>
    <w:p w14:paraId="1108FE42" w14:textId="59CDBFD9" w:rsidR="00004B7D" w:rsidRDefault="00004B7D" w:rsidP="00180DDA">
      <w:pPr>
        <w:pStyle w:val="References"/>
        <w:rPr>
          <w:rFonts w:ascii="Calibri" w:hAnsi="Calibri"/>
          <w:lang w:eastAsia="de-DE"/>
        </w:rPr>
      </w:pPr>
      <w:r w:rsidRPr="00004B7D">
        <w:rPr>
          <w:rFonts w:ascii="Calibri" w:hAnsi="Calibri"/>
          <w:lang w:eastAsia="de-DE"/>
        </w:rPr>
        <w:t xml:space="preserve">NOAA, New York / New Jersey Operational Forecast System (NYOFS), </w:t>
      </w:r>
      <w:hyperlink r:id="rId17" w:tgtFrame="_new" w:history="1">
        <w:r w:rsidRPr="00004B7D">
          <w:rPr>
            <w:rStyle w:val="Hyperlink"/>
            <w:rFonts w:ascii="Calibri" w:hAnsi="Calibri"/>
            <w:lang w:eastAsia="de-DE"/>
          </w:rPr>
          <w:t>https://tidesandcurrents.noaa.gov/ofs/nyofs/nyofs.html</w:t>
        </w:r>
      </w:hyperlink>
      <w:r w:rsidRPr="00004B7D">
        <w:rPr>
          <w:rFonts w:ascii="Calibri" w:hAnsi="Calibri"/>
          <w:lang w:eastAsia="de-DE"/>
        </w:rPr>
        <w:t>.</w:t>
      </w:r>
    </w:p>
    <w:p w14:paraId="196C96D9" w14:textId="696F068F" w:rsidR="002B5466" w:rsidRDefault="00004B7D" w:rsidP="00180DDA">
      <w:pPr>
        <w:pStyle w:val="References"/>
        <w:rPr>
          <w:rFonts w:ascii="Calibri" w:hAnsi="Calibri"/>
          <w:lang w:eastAsia="de-DE"/>
        </w:rPr>
      </w:pPr>
      <w:r w:rsidRPr="00004B7D">
        <w:rPr>
          <w:rFonts w:ascii="Calibri" w:hAnsi="Calibri"/>
          <w:lang w:eastAsia="de-DE"/>
        </w:rPr>
        <w:t xml:space="preserve">Stevens Institute of Technology, New York Harbor Observing and Prediction System (NYHOPS), </w:t>
      </w:r>
      <w:hyperlink r:id="rId18" w:tgtFrame="_new" w:history="1">
        <w:r w:rsidRPr="00004B7D">
          <w:rPr>
            <w:rStyle w:val="Hyperlink"/>
            <w:rFonts w:ascii="Calibri" w:hAnsi="Calibri"/>
            <w:lang w:eastAsia="de-DE"/>
          </w:rPr>
          <w:t>https://hudson.dl.stevens-tech.edu/maritimeforecast/info/</w:t>
        </w:r>
      </w:hyperlink>
      <w:r w:rsidRPr="00004B7D">
        <w:rPr>
          <w:rFonts w:ascii="Calibri" w:hAnsi="Calibri"/>
          <w:lang w:eastAsia="de-DE"/>
        </w:rPr>
        <w:t>.</w:t>
      </w:r>
      <w:r w:rsidR="008945F8" w:rsidRPr="008945F8">
        <w:rPr>
          <w:rFonts w:ascii="Calibri" w:hAnsi="Calibri"/>
          <w:lang w:eastAsia="de-DE"/>
        </w:rPr>
        <w:t>IALA, Vessel Traffic Services (VTS) Manual, Edition 8.4, June 2024</w:t>
      </w:r>
      <w:r w:rsidR="002B5466">
        <w:rPr>
          <w:rFonts w:ascii="Calibri" w:hAnsi="Calibri" w:hint="eastAsia"/>
          <w:lang w:eastAsia="ko-KR"/>
        </w:rPr>
        <w:t>.</w:t>
      </w:r>
    </w:p>
    <w:p w14:paraId="74D9DA8E" w14:textId="3B6F74D5" w:rsidR="00A47228" w:rsidRPr="007A395D" w:rsidRDefault="004522FE" w:rsidP="00A47228">
      <w:pPr>
        <w:pStyle w:val="Heading1"/>
      </w:pPr>
      <w:r>
        <w:rPr>
          <w:rFonts w:hint="eastAsia"/>
          <w:lang w:eastAsia="ko-KR"/>
        </w:rPr>
        <w:t>PROPOSAL</w:t>
      </w:r>
    </w:p>
    <w:p w14:paraId="2054965F" w14:textId="173A5F8B" w:rsidR="006E0B17" w:rsidRPr="00433C0A" w:rsidRDefault="00004B7D" w:rsidP="00004B7D">
      <w:pPr>
        <w:pStyle w:val="NormalWeb"/>
        <w:rPr>
          <w:rFonts w:ascii="Calibri" w:hAnsi="Calibri" w:cs="Calibri"/>
          <w:b/>
          <w:color w:val="000000" w:themeColor="text1"/>
          <w:sz w:val="20"/>
          <w:szCs w:val="22"/>
        </w:rPr>
      </w:pPr>
      <w:r w:rsidRPr="00004B7D">
        <w:rPr>
          <w:rFonts w:ascii="Calibri" w:hAnsi="Calibri" w:cs="Calibri"/>
          <w:color w:val="000000" w:themeColor="text1"/>
          <w:sz w:val="22"/>
          <w:lang w:val="en-GB"/>
        </w:rPr>
        <w:t xml:space="preserve">This study proposes a revision of the IALA Risk Management Toolbox described in Guideline G1018 to incorporate an environment-based </w:t>
      </w:r>
      <w:r w:rsidR="0074508D" w:rsidRPr="0074508D">
        <w:rPr>
          <w:rFonts w:ascii="Calibri" w:hAnsi="Calibri" w:cs="Calibri"/>
          <w:color w:val="000000" w:themeColor="text1"/>
          <w:sz w:val="22"/>
          <w:lang w:val="en-GB"/>
        </w:rPr>
        <w:t>MHFI</w:t>
      </w:r>
      <w:r w:rsidR="0074508D">
        <w:rPr>
          <w:rFonts w:ascii="Calibri" w:hAnsi="Calibri" w:cs="Calibri" w:hint="eastAsia"/>
          <w:color w:val="000000" w:themeColor="text1"/>
          <w:sz w:val="22"/>
          <w:lang w:val="en-GB"/>
        </w:rPr>
        <w:t xml:space="preserve"> </w:t>
      </w:r>
      <w:r w:rsidRPr="00004B7D">
        <w:rPr>
          <w:rFonts w:ascii="Calibri" w:hAnsi="Calibri" w:cs="Calibri"/>
          <w:color w:val="000000" w:themeColor="text1"/>
          <w:sz w:val="22"/>
          <w:lang w:val="en-GB"/>
        </w:rPr>
        <w:t>as a complementary risk assessment tool. The M</w:t>
      </w:r>
      <w:r w:rsidR="0074508D">
        <w:rPr>
          <w:rFonts w:ascii="Calibri" w:hAnsi="Calibri" w:cs="Calibri" w:hint="eastAsia"/>
          <w:color w:val="000000" w:themeColor="text1"/>
          <w:sz w:val="22"/>
          <w:lang w:val="en-GB"/>
        </w:rPr>
        <w:t>H</w:t>
      </w:r>
      <w:r w:rsidRPr="00004B7D">
        <w:rPr>
          <w:rFonts w:ascii="Calibri" w:hAnsi="Calibri" w:cs="Calibri"/>
          <w:color w:val="000000" w:themeColor="text1"/>
          <w:sz w:val="22"/>
          <w:lang w:val="en-GB"/>
        </w:rPr>
        <w:t>FI provides a structured method to quantify maritime risks arising from wave height, swell, current, wind speed, and visibility, which are not fully addressed by the current traffic-oriented tools.</w:t>
      </w:r>
      <w:r w:rsidRPr="00004B7D">
        <w:rPr>
          <w:rFonts w:ascii="Calibri" w:hAnsi="Calibri" w:cs="Calibri"/>
          <w:color w:val="000000" w:themeColor="text1"/>
          <w:sz w:val="22"/>
          <w:lang w:val="en-GB"/>
        </w:rPr>
        <w:br/>
        <w:t>If considered appropriate, a follow-up review may be conducted to develop a dedicated guideline or annex within G1018 to detail the methodology, classification criteria, and potential applications of the M</w:t>
      </w:r>
      <w:r w:rsidR="0074508D">
        <w:rPr>
          <w:rFonts w:ascii="Calibri" w:hAnsi="Calibri" w:cs="Calibri" w:hint="eastAsia"/>
          <w:color w:val="000000" w:themeColor="text1"/>
          <w:sz w:val="22"/>
          <w:lang w:val="en-GB"/>
        </w:rPr>
        <w:t>H</w:t>
      </w:r>
      <w:r w:rsidRPr="00004B7D">
        <w:rPr>
          <w:rFonts w:ascii="Calibri" w:hAnsi="Calibri" w:cs="Calibri"/>
          <w:color w:val="000000" w:themeColor="text1"/>
          <w:sz w:val="22"/>
          <w:lang w:val="en-GB"/>
        </w:rPr>
        <w:t>FI. Furthermore, future studies should examine the integration of M</w:t>
      </w:r>
      <w:r w:rsidR="0074508D">
        <w:rPr>
          <w:rFonts w:ascii="Calibri" w:hAnsi="Calibri" w:cs="Calibri" w:hint="eastAsia"/>
          <w:color w:val="000000" w:themeColor="text1"/>
          <w:sz w:val="22"/>
          <w:lang w:val="en-GB"/>
        </w:rPr>
        <w:t>H</w:t>
      </w:r>
      <w:r w:rsidRPr="00004B7D">
        <w:rPr>
          <w:rFonts w:ascii="Calibri" w:hAnsi="Calibri" w:cs="Calibri"/>
          <w:color w:val="000000" w:themeColor="text1"/>
          <w:sz w:val="22"/>
          <w:lang w:val="en-GB"/>
        </w:rPr>
        <w:t>FI with traffic-based models, supporting the evolution of the IALA Risk Management Toolbox into a more comprehensive framework that combines both traffic and environmental risk factors.</w:t>
      </w:r>
    </w:p>
    <w:p w14:paraId="7A8D2F27" w14:textId="77777777" w:rsidR="00A446C9" w:rsidRPr="007A395D" w:rsidRDefault="00A446C9" w:rsidP="00605E43">
      <w:pPr>
        <w:pStyle w:val="Heading1"/>
      </w:pPr>
      <w:r w:rsidRPr="007A395D">
        <w:t>Action requested of the Committee</w:t>
      </w:r>
    </w:p>
    <w:p w14:paraId="508B0378" w14:textId="64E421E4" w:rsidR="005639D7" w:rsidRPr="00433C0A" w:rsidRDefault="00004B7D" w:rsidP="003959A5">
      <w:pPr>
        <w:pStyle w:val="NormalWeb"/>
        <w:rPr>
          <w:rFonts w:asciiTheme="minorHAnsi" w:hAnsiTheme="minorHAnsi" w:cstheme="minorHAnsi"/>
          <w:color w:val="000000" w:themeColor="text1"/>
          <w:sz w:val="22"/>
          <w:szCs w:val="22"/>
        </w:rPr>
      </w:pPr>
      <w:r w:rsidRPr="00004B7D">
        <w:rPr>
          <w:rFonts w:asciiTheme="minorHAnsi" w:hAnsiTheme="minorHAnsi" w:cstheme="minorHAnsi"/>
          <w:color w:val="000000" w:themeColor="text1"/>
          <w:sz w:val="22"/>
          <w:szCs w:val="22"/>
          <w:lang w:val="en-GB"/>
        </w:rPr>
        <w:t xml:space="preserve">The Committee is invited to consider the proposed inclusion of </w:t>
      </w:r>
      <w:r w:rsidR="0074508D" w:rsidRPr="0074508D">
        <w:rPr>
          <w:rFonts w:asciiTheme="minorHAnsi" w:hAnsiTheme="minorHAnsi" w:cstheme="minorHAnsi"/>
          <w:color w:val="000000" w:themeColor="text1"/>
          <w:sz w:val="22"/>
          <w:szCs w:val="22"/>
          <w:lang w:val="en-GB"/>
        </w:rPr>
        <w:t>Maritime Hydro-</w:t>
      </w:r>
      <w:proofErr w:type="spellStart"/>
      <w:r w:rsidR="0074508D" w:rsidRPr="0074508D">
        <w:rPr>
          <w:rFonts w:asciiTheme="minorHAnsi" w:hAnsiTheme="minorHAnsi" w:cstheme="minorHAnsi"/>
          <w:color w:val="000000" w:themeColor="text1"/>
          <w:sz w:val="22"/>
          <w:szCs w:val="22"/>
          <w:lang w:val="en-GB"/>
        </w:rPr>
        <w:t>Meteo</w:t>
      </w:r>
      <w:proofErr w:type="spellEnd"/>
      <w:r w:rsidR="0074508D" w:rsidRPr="0074508D">
        <w:rPr>
          <w:rFonts w:asciiTheme="minorHAnsi" w:hAnsiTheme="minorHAnsi" w:cstheme="minorHAnsi"/>
          <w:color w:val="000000" w:themeColor="text1"/>
          <w:sz w:val="22"/>
          <w:szCs w:val="22"/>
          <w:lang w:val="en-GB"/>
        </w:rPr>
        <w:t xml:space="preserve"> Fusion Index (MHFI)</w:t>
      </w:r>
      <w:r w:rsidR="0074508D">
        <w:rPr>
          <w:rFonts w:asciiTheme="minorHAnsi" w:hAnsiTheme="minorHAnsi" w:cstheme="minorHAnsi" w:hint="eastAsia"/>
          <w:color w:val="000000" w:themeColor="text1"/>
          <w:sz w:val="22"/>
          <w:szCs w:val="22"/>
          <w:lang w:val="en-GB"/>
        </w:rPr>
        <w:t xml:space="preserve"> </w:t>
      </w:r>
      <w:r w:rsidRPr="00004B7D">
        <w:rPr>
          <w:rFonts w:asciiTheme="minorHAnsi" w:hAnsiTheme="minorHAnsi" w:cstheme="minorHAnsi"/>
          <w:color w:val="000000" w:themeColor="text1"/>
          <w:sz w:val="22"/>
          <w:szCs w:val="22"/>
          <w:lang w:val="en-GB"/>
        </w:rPr>
        <w:t>in Guideline G1018 and take appropriate action as necessary</w:t>
      </w:r>
      <w:r w:rsidR="005639D7" w:rsidRPr="00433C0A">
        <w:rPr>
          <w:rFonts w:asciiTheme="minorHAnsi" w:hAnsiTheme="minorHAnsi" w:cstheme="minorHAnsi"/>
          <w:color w:val="000000" w:themeColor="text1"/>
          <w:sz w:val="22"/>
          <w:szCs w:val="22"/>
        </w:rPr>
        <w:t>.</w:t>
      </w:r>
    </w:p>
    <w:sectPr w:rsidR="005639D7" w:rsidRPr="00433C0A" w:rsidSect="0082480E">
      <w:headerReference w:type="even" r:id="rId19"/>
      <w:headerReference w:type="default" r:id="rId20"/>
      <w:footerReference w:type="default" r:id="rId21"/>
      <w:headerReference w:type="first" r:id="rId2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06E4D" w14:textId="77777777" w:rsidR="00705A65" w:rsidRDefault="00705A65" w:rsidP="00362CD9">
      <w:r>
        <w:separator/>
      </w:r>
    </w:p>
  </w:endnote>
  <w:endnote w:type="continuationSeparator" w:id="0">
    <w:p w14:paraId="313F8F55" w14:textId="77777777" w:rsidR="00705A65" w:rsidRDefault="00705A65" w:rsidP="00362CD9">
      <w:r>
        <w:continuationSeparator/>
      </w:r>
    </w:p>
  </w:endnote>
  <w:endnote w:type="continuationNotice" w:id="1">
    <w:p w14:paraId="091DDEEA" w14:textId="77777777" w:rsidR="00705A65" w:rsidRDefault="00705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함초롬바탕">
    <w:charset w:val="81"/>
    <w:family w:val="roman"/>
    <w:pitch w:val="variable"/>
    <w:sig w:usb0="F7002EFF" w:usb1="19DFFFFF" w:usb2="001BFDD7" w:usb3="00000000" w:csb0="001F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223ED8" w:rsidR="00624475" w:rsidRPr="00036B9E" w:rsidRDefault="006A285A">
    <w:pPr>
      <w:pStyle w:val="Footer"/>
      <w:rPr>
        <w:rFonts w:ascii="Calibri" w:hAnsi="Calibri"/>
      </w:rPr>
    </w:pPr>
    <w:r w:rsidRPr="006A285A">
      <w:rPr>
        <w:rFonts w:ascii="Calibri" w:hAnsi="Calibri"/>
        <w:sz w:val="20"/>
        <w:szCs w:val="20"/>
      </w:rPr>
      <w:t>Proposal for the Introduction of a Maritime Hydro-</w:t>
    </w:r>
    <w:proofErr w:type="spellStart"/>
    <w:r w:rsidRPr="006A285A">
      <w:rPr>
        <w:rFonts w:ascii="Calibri" w:hAnsi="Calibri"/>
        <w:sz w:val="20"/>
        <w:szCs w:val="20"/>
      </w:rPr>
      <w:t>Meteo</w:t>
    </w:r>
    <w:proofErr w:type="spellEnd"/>
    <w:r w:rsidRPr="006A285A">
      <w:rPr>
        <w:rFonts w:ascii="Calibri" w:hAnsi="Calibri"/>
        <w:sz w:val="20"/>
        <w:szCs w:val="20"/>
      </w:rPr>
      <w:t xml:space="preserve"> Fusion Index (MHFI) into Risk Management Framework</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1B6386">
      <w:rPr>
        <w:rFonts w:ascii="Calibri" w:hAnsi="Calibri"/>
        <w:noProof/>
      </w:rPr>
      <w:t>12</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BC215" w14:textId="77777777" w:rsidR="00705A65" w:rsidRDefault="00705A65" w:rsidP="00362CD9">
      <w:r>
        <w:separator/>
      </w:r>
    </w:p>
  </w:footnote>
  <w:footnote w:type="continuationSeparator" w:id="0">
    <w:p w14:paraId="4D2B8422" w14:textId="77777777" w:rsidR="00705A65" w:rsidRDefault="00705A65" w:rsidP="00362CD9">
      <w:r>
        <w:continuationSeparator/>
      </w:r>
    </w:p>
  </w:footnote>
  <w:footnote w:type="continuationNotice" w:id="1">
    <w:p w14:paraId="4DE75A30" w14:textId="77777777" w:rsidR="00705A65" w:rsidRDefault="00705A65"/>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4991EB91" w:rsidR="00624475" w:rsidRPr="00037DF4" w:rsidRDefault="00624475" w:rsidP="002B5466">
      <w:pPr>
        <w:pStyle w:val="FootnoteText"/>
        <w:tabs>
          <w:tab w:val="left" w:pos="2292"/>
        </w:tabs>
      </w:pPr>
      <w:r w:rsidRPr="00037DF4">
        <w:rPr>
          <w:rStyle w:val="FootnoteReference"/>
        </w:rPr>
        <w:footnoteRef/>
      </w:r>
      <w:r w:rsidRPr="00037DF4">
        <w:t xml:space="preserve"> </w:t>
      </w:r>
      <w:r w:rsidRPr="00037DF4">
        <w:rPr>
          <w:sz w:val="16"/>
          <w:szCs w:val="16"/>
        </w:rPr>
        <w:t>Leave open if uncertain</w:t>
      </w:r>
      <w:r w:rsidR="002B5466">
        <w:rPr>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57959365"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20445BBD" w:rsidR="00624475" w:rsidRDefault="00624475" w:rsidP="007A395D">
    <w:pPr>
      <w:pStyle w:val="Header"/>
      <w:jc w:val="right"/>
    </w:pPr>
    <w:r>
      <w:rPr>
        <w:noProof/>
        <w:lang w:val="en-US" w:eastAsia="ko-KR"/>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46A8DF91"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B7088C"/>
    <w:multiLevelType w:val="multilevel"/>
    <w:tmpl w:val="31E23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1CE77EC"/>
    <w:multiLevelType w:val="multilevel"/>
    <w:tmpl w:val="B604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64512283">
    <w:abstractNumId w:val="14"/>
  </w:num>
  <w:num w:numId="2" w16cid:durableId="1007906462">
    <w:abstractNumId w:val="10"/>
  </w:num>
  <w:num w:numId="3" w16cid:durableId="1474909164">
    <w:abstractNumId w:val="1"/>
  </w:num>
  <w:num w:numId="4" w16cid:durableId="1462073680">
    <w:abstractNumId w:val="17"/>
  </w:num>
  <w:num w:numId="5" w16cid:durableId="474369865">
    <w:abstractNumId w:val="6"/>
  </w:num>
  <w:num w:numId="6" w16cid:durableId="2121873575">
    <w:abstractNumId w:val="5"/>
  </w:num>
  <w:num w:numId="7" w16cid:durableId="873269506">
    <w:abstractNumId w:val="12"/>
  </w:num>
  <w:num w:numId="8" w16cid:durableId="288897606">
    <w:abstractNumId w:val="11"/>
  </w:num>
  <w:num w:numId="9" w16cid:durableId="2146045957">
    <w:abstractNumId w:val="16"/>
  </w:num>
  <w:num w:numId="10" w16cid:durableId="1458332082">
    <w:abstractNumId w:val="4"/>
  </w:num>
  <w:num w:numId="11" w16cid:durableId="760025748">
    <w:abstractNumId w:val="13"/>
  </w:num>
  <w:num w:numId="12" w16cid:durableId="996617414">
    <w:abstractNumId w:val="8"/>
  </w:num>
  <w:num w:numId="13" w16cid:durableId="1233613227">
    <w:abstractNumId w:val="7"/>
  </w:num>
  <w:num w:numId="14" w16cid:durableId="1851333874">
    <w:abstractNumId w:val="3"/>
  </w:num>
  <w:num w:numId="15" w16cid:durableId="1812089747">
    <w:abstractNumId w:val="9"/>
  </w:num>
  <w:num w:numId="16" w16cid:durableId="1996564252">
    <w:abstractNumId w:val="0"/>
  </w:num>
  <w:num w:numId="17" w16cid:durableId="1175340880">
    <w:abstractNumId w:val="2"/>
  </w:num>
  <w:num w:numId="18" w16cid:durableId="202311902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04B7D"/>
    <w:rsid w:val="00036A03"/>
    <w:rsid w:val="00036B9E"/>
    <w:rsid w:val="00037DF4"/>
    <w:rsid w:val="0004700E"/>
    <w:rsid w:val="00047F02"/>
    <w:rsid w:val="00055C68"/>
    <w:rsid w:val="00070C13"/>
    <w:rsid w:val="000715C9"/>
    <w:rsid w:val="00074F5A"/>
    <w:rsid w:val="00084F33"/>
    <w:rsid w:val="000A1FFE"/>
    <w:rsid w:val="000A2309"/>
    <w:rsid w:val="000A711B"/>
    <w:rsid w:val="000A77A7"/>
    <w:rsid w:val="000B1707"/>
    <w:rsid w:val="000B42D0"/>
    <w:rsid w:val="000C1B3E"/>
    <w:rsid w:val="000C349E"/>
    <w:rsid w:val="000E5D4D"/>
    <w:rsid w:val="000F2584"/>
    <w:rsid w:val="000F72BA"/>
    <w:rsid w:val="00110AE7"/>
    <w:rsid w:val="00110C3F"/>
    <w:rsid w:val="00112425"/>
    <w:rsid w:val="00140D74"/>
    <w:rsid w:val="00146E5F"/>
    <w:rsid w:val="00177F4D"/>
    <w:rsid w:val="00180DDA"/>
    <w:rsid w:val="001857C7"/>
    <w:rsid w:val="001A3CA1"/>
    <w:rsid w:val="001B2A2D"/>
    <w:rsid w:val="001B6386"/>
    <w:rsid w:val="001B737D"/>
    <w:rsid w:val="001C44A3"/>
    <w:rsid w:val="001D7939"/>
    <w:rsid w:val="001E0E15"/>
    <w:rsid w:val="001E2F3F"/>
    <w:rsid w:val="001E67DE"/>
    <w:rsid w:val="001F528A"/>
    <w:rsid w:val="001F704E"/>
    <w:rsid w:val="00200241"/>
    <w:rsid w:val="00201722"/>
    <w:rsid w:val="002125B0"/>
    <w:rsid w:val="00215BC5"/>
    <w:rsid w:val="002378AD"/>
    <w:rsid w:val="00243228"/>
    <w:rsid w:val="00244AB0"/>
    <w:rsid w:val="00247C5E"/>
    <w:rsid w:val="00250BFD"/>
    <w:rsid w:val="00251483"/>
    <w:rsid w:val="00255CAA"/>
    <w:rsid w:val="00264305"/>
    <w:rsid w:val="00285C25"/>
    <w:rsid w:val="0029528B"/>
    <w:rsid w:val="002A0346"/>
    <w:rsid w:val="002A4487"/>
    <w:rsid w:val="002B0614"/>
    <w:rsid w:val="002B49E9"/>
    <w:rsid w:val="002B5466"/>
    <w:rsid w:val="002C632E"/>
    <w:rsid w:val="002D3D3C"/>
    <w:rsid w:val="002D3E8B"/>
    <w:rsid w:val="002D4575"/>
    <w:rsid w:val="002D5C0C"/>
    <w:rsid w:val="002E03D1"/>
    <w:rsid w:val="002E1DA0"/>
    <w:rsid w:val="002E6B74"/>
    <w:rsid w:val="002E6FCA"/>
    <w:rsid w:val="00303033"/>
    <w:rsid w:val="003039D6"/>
    <w:rsid w:val="00337874"/>
    <w:rsid w:val="003460B7"/>
    <w:rsid w:val="00356CD0"/>
    <w:rsid w:val="00357025"/>
    <w:rsid w:val="00362CD9"/>
    <w:rsid w:val="00363C34"/>
    <w:rsid w:val="003761CA"/>
    <w:rsid w:val="00380DAF"/>
    <w:rsid w:val="00390C6D"/>
    <w:rsid w:val="00390D09"/>
    <w:rsid w:val="003959A5"/>
    <w:rsid w:val="003972CE"/>
    <w:rsid w:val="003A43C6"/>
    <w:rsid w:val="003B28F5"/>
    <w:rsid w:val="003B3AD6"/>
    <w:rsid w:val="003B7B7D"/>
    <w:rsid w:val="003C54CB"/>
    <w:rsid w:val="003C7A2A"/>
    <w:rsid w:val="003D2DC1"/>
    <w:rsid w:val="003D69D0"/>
    <w:rsid w:val="003F246B"/>
    <w:rsid w:val="003F2918"/>
    <w:rsid w:val="003F430E"/>
    <w:rsid w:val="0041088C"/>
    <w:rsid w:val="00412DD0"/>
    <w:rsid w:val="0041482C"/>
    <w:rsid w:val="00420A38"/>
    <w:rsid w:val="00431B19"/>
    <w:rsid w:val="00432203"/>
    <w:rsid w:val="00433C0A"/>
    <w:rsid w:val="004402D4"/>
    <w:rsid w:val="004522FE"/>
    <w:rsid w:val="004661AD"/>
    <w:rsid w:val="004A6C1D"/>
    <w:rsid w:val="004D1D85"/>
    <w:rsid w:val="004D3C3A"/>
    <w:rsid w:val="004D735E"/>
    <w:rsid w:val="004E1CD1"/>
    <w:rsid w:val="004F327F"/>
    <w:rsid w:val="004F4588"/>
    <w:rsid w:val="004F5283"/>
    <w:rsid w:val="004F7EFC"/>
    <w:rsid w:val="005107EB"/>
    <w:rsid w:val="00521345"/>
    <w:rsid w:val="0052140A"/>
    <w:rsid w:val="00526DF0"/>
    <w:rsid w:val="0053248D"/>
    <w:rsid w:val="00545CC4"/>
    <w:rsid w:val="00551FFF"/>
    <w:rsid w:val="0055400B"/>
    <w:rsid w:val="00555C59"/>
    <w:rsid w:val="005607A2"/>
    <w:rsid w:val="005639D7"/>
    <w:rsid w:val="0057198B"/>
    <w:rsid w:val="00573CFE"/>
    <w:rsid w:val="00575A60"/>
    <w:rsid w:val="00575AE7"/>
    <w:rsid w:val="00590E05"/>
    <w:rsid w:val="005969F2"/>
    <w:rsid w:val="00597FAE"/>
    <w:rsid w:val="005A0810"/>
    <w:rsid w:val="005B1480"/>
    <w:rsid w:val="005B2EC2"/>
    <w:rsid w:val="005B32A3"/>
    <w:rsid w:val="005C0D44"/>
    <w:rsid w:val="005C566C"/>
    <w:rsid w:val="005C5842"/>
    <w:rsid w:val="005C7E69"/>
    <w:rsid w:val="005D23F5"/>
    <w:rsid w:val="005D45C5"/>
    <w:rsid w:val="005D57C6"/>
    <w:rsid w:val="005E262D"/>
    <w:rsid w:val="005F23D3"/>
    <w:rsid w:val="005F5BEF"/>
    <w:rsid w:val="005F7E20"/>
    <w:rsid w:val="006035C1"/>
    <w:rsid w:val="00605E43"/>
    <w:rsid w:val="006153BB"/>
    <w:rsid w:val="006156FF"/>
    <w:rsid w:val="00624475"/>
    <w:rsid w:val="00640B6D"/>
    <w:rsid w:val="0064363E"/>
    <w:rsid w:val="006652C3"/>
    <w:rsid w:val="0067165B"/>
    <w:rsid w:val="00680EA0"/>
    <w:rsid w:val="00691FD0"/>
    <w:rsid w:val="00692148"/>
    <w:rsid w:val="006A1A1E"/>
    <w:rsid w:val="006A285A"/>
    <w:rsid w:val="006C5948"/>
    <w:rsid w:val="006E0B17"/>
    <w:rsid w:val="006F2A74"/>
    <w:rsid w:val="006F3FA2"/>
    <w:rsid w:val="007000D4"/>
    <w:rsid w:val="00705A65"/>
    <w:rsid w:val="007118F5"/>
    <w:rsid w:val="00712AA4"/>
    <w:rsid w:val="007146C4"/>
    <w:rsid w:val="007146F8"/>
    <w:rsid w:val="00721AA1"/>
    <w:rsid w:val="00724B67"/>
    <w:rsid w:val="00737B46"/>
    <w:rsid w:val="00744DB8"/>
    <w:rsid w:val="0074508D"/>
    <w:rsid w:val="0075009E"/>
    <w:rsid w:val="007547F8"/>
    <w:rsid w:val="00765622"/>
    <w:rsid w:val="00770B6C"/>
    <w:rsid w:val="00776F6A"/>
    <w:rsid w:val="00783FEA"/>
    <w:rsid w:val="007A0F61"/>
    <w:rsid w:val="007A395D"/>
    <w:rsid w:val="007A6B28"/>
    <w:rsid w:val="007B4CB6"/>
    <w:rsid w:val="007B6BD5"/>
    <w:rsid w:val="007C0AF2"/>
    <w:rsid w:val="007C346C"/>
    <w:rsid w:val="007D53F7"/>
    <w:rsid w:val="007E6479"/>
    <w:rsid w:val="0080294B"/>
    <w:rsid w:val="0082480E"/>
    <w:rsid w:val="00826C55"/>
    <w:rsid w:val="0084508C"/>
    <w:rsid w:val="00850293"/>
    <w:rsid w:val="00851373"/>
    <w:rsid w:val="00851BA6"/>
    <w:rsid w:val="0085654D"/>
    <w:rsid w:val="00861160"/>
    <w:rsid w:val="0086654F"/>
    <w:rsid w:val="00884EBF"/>
    <w:rsid w:val="008945F8"/>
    <w:rsid w:val="008A356F"/>
    <w:rsid w:val="008A4653"/>
    <w:rsid w:val="008A4717"/>
    <w:rsid w:val="008A50CC"/>
    <w:rsid w:val="008B3040"/>
    <w:rsid w:val="008C1DA3"/>
    <w:rsid w:val="008C51F1"/>
    <w:rsid w:val="008D1694"/>
    <w:rsid w:val="008D79CB"/>
    <w:rsid w:val="008F07BC"/>
    <w:rsid w:val="008F68CB"/>
    <w:rsid w:val="00925884"/>
    <w:rsid w:val="0092692B"/>
    <w:rsid w:val="00930561"/>
    <w:rsid w:val="00943E9C"/>
    <w:rsid w:val="00953F4D"/>
    <w:rsid w:val="00960BB8"/>
    <w:rsid w:val="00962B42"/>
    <w:rsid w:val="00964F5C"/>
    <w:rsid w:val="009709DA"/>
    <w:rsid w:val="00973B57"/>
    <w:rsid w:val="00975900"/>
    <w:rsid w:val="009831C0"/>
    <w:rsid w:val="0099161D"/>
    <w:rsid w:val="00A0389B"/>
    <w:rsid w:val="00A10894"/>
    <w:rsid w:val="00A33A3C"/>
    <w:rsid w:val="00A446C9"/>
    <w:rsid w:val="00A46B25"/>
    <w:rsid w:val="00A47228"/>
    <w:rsid w:val="00A635D6"/>
    <w:rsid w:val="00A70AD1"/>
    <w:rsid w:val="00A83BE4"/>
    <w:rsid w:val="00A8553A"/>
    <w:rsid w:val="00A93AED"/>
    <w:rsid w:val="00AE1319"/>
    <w:rsid w:val="00AE34BB"/>
    <w:rsid w:val="00AE3CE8"/>
    <w:rsid w:val="00B226F2"/>
    <w:rsid w:val="00B274DF"/>
    <w:rsid w:val="00B56BDF"/>
    <w:rsid w:val="00B56D2D"/>
    <w:rsid w:val="00B60302"/>
    <w:rsid w:val="00B63FFD"/>
    <w:rsid w:val="00B65812"/>
    <w:rsid w:val="00B85CD6"/>
    <w:rsid w:val="00B86A06"/>
    <w:rsid w:val="00B90A27"/>
    <w:rsid w:val="00B9554D"/>
    <w:rsid w:val="00B95DA0"/>
    <w:rsid w:val="00BB2B9F"/>
    <w:rsid w:val="00BB7D9E"/>
    <w:rsid w:val="00BC022A"/>
    <w:rsid w:val="00BC2334"/>
    <w:rsid w:val="00BD3CB8"/>
    <w:rsid w:val="00BD4E6F"/>
    <w:rsid w:val="00BE3E5D"/>
    <w:rsid w:val="00BF32F0"/>
    <w:rsid w:val="00BF4DCE"/>
    <w:rsid w:val="00C05CE5"/>
    <w:rsid w:val="00C15DE8"/>
    <w:rsid w:val="00C226CE"/>
    <w:rsid w:val="00C26827"/>
    <w:rsid w:val="00C27329"/>
    <w:rsid w:val="00C46CA1"/>
    <w:rsid w:val="00C606FB"/>
    <w:rsid w:val="00C6171E"/>
    <w:rsid w:val="00C652EE"/>
    <w:rsid w:val="00C76ED4"/>
    <w:rsid w:val="00CA6F2C"/>
    <w:rsid w:val="00CD6A13"/>
    <w:rsid w:val="00CE7803"/>
    <w:rsid w:val="00CF1871"/>
    <w:rsid w:val="00CF1CF2"/>
    <w:rsid w:val="00D01874"/>
    <w:rsid w:val="00D019CE"/>
    <w:rsid w:val="00D1133E"/>
    <w:rsid w:val="00D17A34"/>
    <w:rsid w:val="00D26628"/>
    <w:rsid w:val="00D332B3"/>
    <w:rsid w:val="00D43028"/>
    <w:rsid w:val="00D55207"/>
    <w:rsid w:val="00D6373E"/>
    <w:rsid w:val="00D77DB2"/>
    <w:rsid w:val="00D81801"/>
    <w:rsid w:val="00D92B45"/>
    <w:rsid w:val="00D95962"/>
    <w:rsid w:val="00DB1DEB"/>
    <w:rsid w:val="00DC389B"/>
    <w:rsid w:val="00DE2FEE"/>
    <w:rsid w:val="00DF1467"/>
    <w:rsid w:val="00DF56A1"/>
    <w:rsid w:val="00DF79B4"/>
    <w:rsid w:val="00E00241"/>
    <w:rsid w:val="00E00BE9"/>
    <w:rsid w:val="00E104C0"/>
    <w:rsid w:val="00E22A11"/>
    <w:rsid w:val="00E31E5C"/>
    <w:rsid w:val="00E442A6"/>
    <w:rsid w:val="00E44DD2"/>
    <w:rsid w:val="00E558C3"/>
    <w:rsid w:val="00E55927"/>
    <w:rsid w:val="00E60540"/>
    <w:rsid w:val="00E810F1"/>
    <w:rsid w:val="00E836C9"/>
    <w:rsid w:val="00E912A6"/>
    <w:rsid w:val="00EA4844"/>
    <w:rsid w:val="00EA4D9C"/>
    <w:rsid w:val="00EA5A97"/>
    <w:rsid w:val="00EB0898"/>
    <w:rsid w:val="00EB2248"/>
    <w:rsid w:val="00EB48AE"/>
    <w:rsid w:val="00EB48D1"/>
    <w:rsid w:val="00EB75EE"/>
    <w:rsid w:val="00EC0046"/>
    <w:rsid w:val="00EC28BE"/>
    <w:rsid w:val="00EE2FEF"/>
    <w:rsid w:val="00EE3CC5"/>
    <w:rsid w:val="00EE41A4"/>
    <w:rsid w:val="00EE4C1D"/>
    <w:rsid w:val="00EE5E6B"/>
    <w:rsid w:val="00EF3685"/>
    <w:rsid w:val="00EF54FD"/>
    <w:rsid w:val="00F04350"/>
    <w:rsid w:val="00F05785"/>
    <w:rsid w:val="00F133DB"/>
    <w:rsid w:val="00F159EB"/>
    <w:rsid w:val="00F2115A"/>
    <w:rsid w:val="00F25BF4"/>
    <w:rsid w:val="00F267DB"/>
    <w:rsid w:val="00F379F7"/>
    <w:rsid w:val="00F46F6F"/>
    <w:rsid w:val="00F60608"/>
    <w:rsid w:val="00F62217"/>
    <w:rsid w:val="00FB17A9"/>
    <w:rsid w:val="00FB46C1"/>
    <w:rsid w:val="00FB527C"/>
    <w:rsid w:val="00FB6F75"/>
    <w:rsid w:val="00FC0EB3"/>
    <w:rsid w:val="00FC3CD8"/>
    <w:rsid w:val="00FD4AE2"/>
    <w:rsid w:val="00FD675E"/>
    <w:rsid w:val="00FE5674"/>
    <w:rsid w:val="00FE6A9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EC2"/>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num" w:pos="360"/>
        <w:tab w:val="left" w:pos="1701"/>
      </w:tabs>
      <w:ind w:left="567" w:hanging="567"/>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6035C1"/>
    <w:pPr>
      <w:spacing w:before="100" w:beforeAutospacing="1" w:after="100" w:afterAutospacing="1"/>
    </w:pPr>
    <w:rPr>
      <w:rFonts w:ascii="Gulim" w:eastAsia="Gulim" w:hAnsi="Gulim" w:cs="Gulim"/>
      <w:sz w:val="24"/>
      <w:szCs w:val="24"/>
      <w:lang w:val="en-US" w:eastAsia="ko-KR"/>
    </w:rPr>
  </w:style>
  <w:style w:type="character" w:styleId="Strong">
    <w:name w:val="Strong"/>
    <w:basedOn w:val="DefaultParagraphFont"/>
    <w:uiPriority w:val="22"/>
    <w:qFormat/>
    <w:rsid w:val="006035C1"/>
    <w:rPr>
      <w:b/>
      <w:bCs/>
    </w:rPr>
  </w:style>
  <w:style w:type="paragraph" w:customStyle="1" w:styleId="a">
    <w:name w:val="바탕글"/>
    <w:basedOn w:val="Normal"/>
    <w:rsid w:val="001E67DE"/>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 w:type="paragraph" w:customStyle="1" w:styleId="FFFFB0FFFFA2FFFFC1FFFFD6">
    <w:name w:val="FFFFB0FFFFA2FFFFC1FFFFD6"/>
    <w:uiPriority w:val="1"/>
    <w:rsid w:val="00390C6D"/>
    <w:pPr>
      <w:widowControl w:val="0"/>
      <w:wordWrap w:val="0"/>
      <w:autoSpaceDE w:val="0"/>
      <w:autoSpaceDN w:val="0"/>
      <w:adjustRightInd w:val="0"/>
      <w:spacing w:line="312" w:lineRule="auto"/>
      <w:ind w:left="262" w:hanging="262"/>
      <w:jc w:val="both"/>
      <w:textAlignment w:val="baseline"/>
    </w:pPr>
    <w:rPr>
      <w:rFonts w:ascii="함초롬바탕" w:eastAsia="함초롬바탕" w:hAnsi="함초롬바탕" w:cs="함초롬바탕"/>
      <w:color w:val="000000"/>
      <w:sz w:val="18"/>
      <w:szCs w:val="18"/>
      <w:lang w:val="en-US" w:eastAsia="ko-KR"/>
      <w14:ligatures w14:val="standardContextual"/>
    </w:rPr>
  </w:style>
  <w:style w:type="character" w:styleId="UnresolvedMention">
    <w:name w:val="Unresolved Mention"/>
    <w:basedOn w:val="DefaultParagraphFont"/>
    <w:uiPriority w:val="99"/>
    <w:semiHidden/>
    <w:unhideWhenUsed/>
    <w:rsid w:val="00004B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661689">
      <w:bodyDiv w:val="1"/>
      <w:marLeft w:val="0"/>
      <w:marRight w:val="0"/>
      <w:marTop w:val="0"/>
      <w:marBottom w:val="0"/>
      <w:divBdr>
        <w:top w:val="none" w:sz="0" w:space="0" w:color="auto"/>
        <w:left w:val="none" w:sz="0" w:space="0" w:color="auto"/>
        <w:bottom w:val="none" w:sz="0" w:space="0" w:color="auto"/>
        <w:right w:val="none" w:sz="0" w:space="0" w:color="auto"/>
      </w:divBdr>
    </w:div>
    <w:div w:id="368575947">
      <w:bodyDiv w:val="1"/>
      <w:marLeft w:val="0"/>
      <w:marRight w:val="0"/>
      <w:marTop w:val="0"/>
      <w:marBottom w:val="0"/>
      <w:divBdr>
        <w:top w:val="none" w:sz="0" w:space="0" w:color="auto"/>
        <w:left w:val="none" w:sz="0" w:space="0" w:color="auto"/>
        <w:bottom w:val="none" w:sz="0" w:space="0" w:color="auto"/>
        <w:right w:val="none" w:sz="0" w:space="0" w:color="auto"/>
      </w:divBdr>
    </w:div>
    <w:div w:id="485169199">
      <w:bodyDiv w:val="1"/>
      <w:marLeft w:val="0"/>
      <w:marRight w:val="0"/>
      <w:marTop w:val="0"/>
      <w:marBottom w:val="0"/>
      <w:divBdr>
        <w:top w:val="none" w:sz="0" w:space="0" w:color="auto"/>
        <w:left w:val="none" w:sz="0" w:space="0" w:color="auto"/>
        <w:bottom w:val="none" w:sz="0" w:space="0" w:color="auto"/>
        <w:right w:val="none" w:sz="0" w:space="0" w:color="auto"/>
      </w:divBdr>
    </w:div>
    <w:div w:id="491408607">
      <w:bodyDiv w:val="1"/>
      <w:marLeft w:val="0"/>
      <w:marRight w:val="0"/>
      <w:marTop w:val="0"/>
      <w:marBottom w:val="0"/>
      <w:divBdr>
        <w:top w:val="none" w:sz="0" w:space="0" w:color="auto"/>
        <w:left w:val="none" w:sz="0" w:space="0" w:color="auto"/>
        <w:bottom w:val="none" w:sz="0" w:space="0" w:color="auto"/>
        <w:right w:val="none" w:sz="0" w:space="0" w:color="auto"/>
      </w:divBdr>
    </w:div>
    <w:div w:id="564027733">
      <w:bodyDiv w:val="1"/>
      <w:marLeft w:val="0"/>
      <w:marRight w:val="0"/>
      <w:marTop w:val="0"/>
      <w:marBottom w:val="0"/>
      <w:divBdr>
        <w:top w:val="none" w:sz="0" w:space="0" w:color="auto"/>
        <w:left w:val="none" w:sz="0" w:space="0" w:color="auto"/>
        <w:bottom w:val="none" w:sz="0" w:space="0" w:color="auto"/>
        <w:right w:val="none" w:sz="0" w:space="0" w:color="auto"/>
      </w:divBdr>
    </w:div>
    <w:div w:id="636227445">
      <w:bodyDiv w:val="1"/>
      <w:marLeft w:val="0"/>
      <w:marRight w:val="0"/>
      <w:marTop w:val="0"/>
      <w:marBottom w:val="0"/>
      <w:divBdr>
        <w:top w:val="none" w:sz="0" w:space="0" w:color="auto"/>
        <w:left w:val="none" w:sz="0" w:space="0" w:color="auto"/>
        <w:bottom w:val="none" w:sz="0" w:space="0" w:color="auto"/>
        <w:right w:val="none" w:sz="0" w:space="0" w:color="auto"/>
      </w:divBdr>
    </w:div>
    <w:div w:id="651101512">
      <w:bodyDiv w:val="1"/>
      <w:marLeft w:val="0"/>
      <w:marRight w:val="0"/>
      <w:marTop w:val="0"/>
      <w:marBottom w:val="0"/>
      <w:divBdr>
        <w:top w:val="none" w:sz="0" w:space="0" w:color="auto"/>
        <w:left w:val="none" w:sz="0" w:space="0" w:color="auto"/>
        <w:bottom w:val="none" w:sz="0" w:space="0" w:color="auto"/>
        <w:right w:val="none" w:sz="0" w:space="0" w:color="auto"/>
      </w:divBdr>
    </w:div>
    <w:div w:id="663898838">
      <w:bodyDiv w:val="1"/>
      <w:marLeft w:val="0"/>
      <w:marRight w:val="0"/>
      <w:marTop w:val="0"/>
      <w:marBottom w:val="0"/>
      <w:divBdr>
        <w:top w:val="none" w:sz="0" w:space="0" w:color="auto"/>
        <w:left w:val="none" w:sz="0" w:space="0" w:color="auto"/>
        <w:bottom w:val="none" w:sz="0" w:space="0" w:color="auto"/>
        <w:right w:val="none" w:sz="0" w:space="0" w:color="auto"/>
      </w:divBdr>
    </w:div>
    <w:div w:id="725953889">
      <w:bodyDiv w:val="1"/>
      <w:marLeft w:val="0"/>
      <w:marRight w:val="0"/>
      <w:marTop w:val="0"/>
      <w:marBottom w:val="0"/>
      <w:divBdr>
        <w:top w:val="none" w:sz="0" w:space="0" w:color="auto"/>
        <w:left w:val="none" w:sz="0" w:space="0" w:color="auto"/>
        <w:bottom w:val="none" w:sz="0" w:space="0" w:color="auto"/>
        <w:right w:val="none" w:sz="0" w:space="0" w:color="auto"/>
      </w:divBdr>
    </w:div>
    <w:div w:id="737021516">
      <w:bodyDiv w:val="1"/>
      <w:marLeft w:val="0"/>
      <w:marRight w:val="0"/>
      <w:marTop w:val="0"/>
      <w:marBottom w:val="0"/>
      <w:divBdr>
        <w:top w:val="none" w:sz="0" w:space="0" w:color="auto"/>
        <w:left w:val="none" w:sz="0" w:space="0" w:color="auto"/>
        <w:bottom w:val="none" w:sz="0" w:space="0" w:color="auto"/>
        <w:right w:val="none" w:sz="0" w:space="0" w:color="auto"/>
      </w:divBdr>
    </w:div>
    <w:div w:id="795218118">
      <w:bodyDiv w:val="1"/>
      <w:marLeft w:val="0"/>
      <w:marRight w:val="0"/>
      <w:marTop w:val="0"/>
      <w:marBottom w:val="0"/>
      <w:divBdr>
        <w:top w:val="none" w:sz="0" w:space="0" w:color="auto"/>
        <w:left w:val="none" w:sz="0" w:space="0" w:color="auto"/>
        <w:bottom w:val="none" w:sz="0" w:space="0" w:color="auto"/>
        <w:right w:val="none" w:sz="0" w:space="0" w:color="auto"/>
      </w:divBdr>
    </w:div>
    <w:div w:id="871502006">
      <w:bodyDiv w:val="1"/>
      <w:marLeft w:val="0"/>
      <w:marRight w:val="0"/>
      <w:marTop w:val="0"/>
      <w:marBottom w:val="0"/>
      <w:divBdr>
        <w:top w:val="none" w:sz="0" w:space="0" w:color="auto"/>
        <w:left w:val="none" w:sz="0" w:space="0" w:color="auto"/>
        <w:bottom w:val="none" w:sz="0" w:space="0" w:color="auto"/>
        <w:right w:val="none" w:sz="0" w:space="0" w:color="auto"/>
      </w:divBdr>
    </w:div>
    <w:div w:id="928268081">
      <w:bodyDiv w:val="1"/>
      <w:marLeft w:val="0"/>
      <w:marRight w:val="0"/>
      <w:marTop w:val="0"/>
      <w:marBottom w:val="0"/>
      <w:divBdr>
        <w:top w:val="none" w:sz="0" w:space="0" w:color="auto"/>
        <w:left w:val="none" w:sz="0" w:space="0" w:color="auto"/>
        <w:bottom w:val="none" w:sz="0" w:space="0" w:color="auto"/>
        <w:right w:val="none" w:sz="0" w:space="0" w:color="auto"/>
      </w:divBdr>
    </w:div>
    <w:div w:id="1056313827">
      <w:bodyDiv w:val="1"/>
      <w:marLeft w:val="0"/>
      <w:marRight w:val="0"/>
      <w:marTop w:val="0"/>
      <w:marBottom w:val="0"/>
      <w:divBdr>
        <w:top w:val="none" w:sz="0" w:space="0" w:color="auto"/>
        <w:left w:val="none" w:sz="0" w:space="0" w:color="auto"/>
        <w:bottom w:val="none" w:sz="0" w:space="0" w:color="auto"/>
        <w:right w:val="none" w:sz="0" w:space="0" w:color="auto"/>
      </w:divBdr>
    </w:div>
    <w:div w:id="1057969238">
      <w:bodyDiv w:val="1"/>
      <w:marLeft w:val="0"/>
      <w:marRight w:val="0"/>
      <w:marTop w:val="0"/>
      <w:marBottom w:val="0"/>
      <w:divBdr>
        <w:top w:val="none" w:sz="0" w:space="0" w:color="auto"/>
        <w:left w:val="none" w:sz="0" w:space="0" w:color="auto"/>
        <w:bottom w:val="none" w:sz="0" w:space="0" w:color="auto"/>
        <w:right w:val="none" w:sz="0" w:space="0" w:color="auto"/>
      </w:divBdr>
    </w:div>
    <w:div w:id="1063142722">
      <w:bodyDiv w:val="1"/>
      <w:marLeft w:val="0"/>
      <w:marRight w:val="0"/>
      <w:marTop w:val="0"/>
      <w:marBottom w:val="0"/>
      <w:divBdr>
        <w:top w:val="none" w:sz="0" w:space="0" w:color="auto"/>
        <w:left w:val="none" w:sz="0" w:space="0" w:color="auto"/>
        <w:bottom w:val="none" w:sz="0" w:space="0" w:color="auto"/>
        <w:right w:val="none" w:sz="0" w:space="0" w:color="auto"/>
      </w:divBdr>
    </w:div>
    <w:div w:id="1132165086">
      <w:bodyDiv w:val="1"/>
      <w:marLeft w:val="0"/>
      <w:marRight w:val="0"/>
      <w:marTop w:val="0"/>
      <w:marBottom w:val="0"/>
      <w:divBdr>
        <w:top w:val="none" w:sz="0" w:space="0" w:color="auto"/>
        <w:left w:val="none" w:sz="0" w:space="0" w:color="auto"/>
        <w:bottom w:val="none" w:sz="0" w:space="0" w:color="auto"/>
        <w:right w:val="none" w:sz="0" w:space="0" w:color="auto"/>
      </w:divBdr>
    </w:div>
    <w:div w:id="1154832382">
      <w:bodyDiv w:val="1"/>
      <w:marLeft w:val="0"/>
      <w:marRight w:val="0"/>
      <w:marTop w:val="0"/>
      <w:marBottom w:val="0"/>
      <w:divBdr>
        <w:top w:val="none" w:sz="0" w:space="0" w:color="auto"/>
        <w:left w:val="none" w:sz="0" w:space="0" w:color="auto"/>
        <w:bottom w:val="none" w:sz="0" w:space="0" w:color="auto"/>
        <w:right w:val="none" w:sz="0" w:space="0" w:color="auto"/>
      </w:divBdr>
    </w:div>
    <w:div w:id="1216547499">
      <w:bodyDiv w:val="1"/>
      <w:marLeft w:val="0"/>
      <w:marRight w:val="0"/>
      <w:marTop w:val="0"/>
      <w:marBottom w:val="0"/>
      <w:divBdr>
        <w:top w:val="none" w:sz="0" w:space="0" w:color="auto"/>
        <w:left w:val="none" w:sz="0" w:space="0" w:color="auto"/>
        <w:bottom w:val="none" w:sz="0" w:space="0" w:color="auto"/>
        <w:right w:val="none" w:sz="0" w:space="0" w:color="auto"/>
      </w:divBdr>
    </w:div>
    <w:div w:id="1289313970">
      <w:bodyDiv w:val="1"/>
      <w:marLeft w:val="0"/>
      <w:marRight w:val="0"/>
      <w:marTop w:val="0"/>
      <w:marBottom w:val="0"/>
      <w:divBdr>
        <w:top w:val="none" w:sz="0" w:space="0" w:color="auto"/>
        <w:left w:val="none" w:sz="0" w:space="0" w:color="auto"/>
        <w:bottom w:val="none" w:sz="0" w:space="0" w:color="auto"/>
        <w:right w:val="none" w:sz="0" w:space="0" w:color="auto"/>
      </w:divBdr>
    </w:div>
    <w:div w:id="1352799811">
      <w:bodyDiv w:val="1"/>
      <w:marLeft w:val="0"/>
      <w:marRight w:val="0"/>
      <w:marTop w:val="0"/>
      <w:marBottom w:val="0"/>
      <w:divBdr>
        <w:top w:val="none" w:sz="0" w:space="0" w:color="auto"/>
        <w:left w:val="none" w:sz="0" w:space="0" w:color="auto"/>
        <w:bottom w:val="none" w:sz="0" w:space="0" w:color="auto"/>
        <w:right w:val="none" w:sz="0" w:space="0" w:color="auto"/>
      </w:divBdr>
    </w:div>
    <w:div w:id="1400522614">
      <w:bodyDiv w:val="1"/>
      <w:marLeft w:val="0"/>
      <w:marRight w:val="0"/>
      <w:marTop w:val="0"/>
      <w:marBottom w:val="0"/>
      <w:divBdr>
        <w:top w:val="none" w:sz="0" w:space="0" w:color="auto"/>
        <w:left w:val="none" w:sz="0" w:space="0" w:color="auto"/>
        <w:bottom w:val="none" w:sz="0" w:space="0" w:color="auto"/>
        <w:right w:val="none" w:sz="0" w:space="0" w:color="auto"/>
      </w:divBdr>
    </w:div>
    <w:div w:id="1493762286">
      <w:bodyDiv w:val="1"/>
      <w:marLeft w:val="0"/>
      <w:marRight w:val="0"/>
      <w:marTop w:val="0"/>
      <w:marBottom w:val="0"/>
      <w:divBdr>
        <w:top w:val="none" w:sz="0" w:space="0" w:color="auto"/>
        <w:left w:val="none" w:sz="0" w:space="0" w:color="auto"/>
        <w:bottom w:val="none" w:sz="0" w:space="0" w:color="auto"/>
        <w:right w:val="none" w:sz="0" w:space="0" w:color="auto"/>
      </w:divBdr>
    </w:div>
    <w:div w:id="1515461465">
      <w:bodyDiv w:val="1"/>
      <w:marLeft w:val="0"/>
      <w:marRight w:val="0"/>
      <w:marTop w:val="0"/>
      <w:marBottom w:val="0"/>
      <w:divBdr>
        <w:top w:val="none" w:sz="0" w:space="0" w:color="auto"/>
        <w:left w:val="none" w:sz="0" w:space="0" w:color="auto"/>
        <w:bottom w:val="none" w:sz="0" w:space="0" w:color="auto"/>
        <w:right w:val="none" w:sz="0" w:space="0" w:color="auto"/>
      </w:divBdr>
    </w:div>
    <w:div w:id="1622303164">
      <w:bodyDiv w:val="1"/>
      <w:marLeft w:val="0"/>
      <w:marRight w:val="0"/>
      <w:marTop w:val="0"/>
      <w:marBottom w:val="0"/>
      <w:divBdr>
        <w:top w:val="none" w:sz="0" w:space="0" w:color="auto"/>
        <w:left w:val="none" w:sz="0" w:space="0" w:color="auto"/>
        <w:bottom w:val="none" w:sz="0" w:space="0" w:color="auto"/>
        <w:right w:val="none" w:sz="0" w:space="0" w:color="auto"/>
      </w:divBdr>
    </w:div>
    <w:div w:id="1701199804">
      <w:bodyDiv w:val="1"/>
      <w:marLeft w:val="0"/>
      <w:marRight w:val="0"/>
      <w:marTop w:val="0"/>
      <w:marBottom w:val="0"/>
      <w:divBdr>
        <w:top w:val="none" w:sz="0" w:space="0" w:color="auto"/>
        <w:left w:val="none" w:sz="0" w:space="0" w:color="auto"/>
        <w:bottom w:val="none" w:sz="0" w:space="0" w:color="auto"/>
        <w:right w:val="none" w:sz="0" w:space="0" w:color="auto"/>
      </w:divBdr>
    </w:div>
    <w:div w:id="1733112169">
      <w:bodyDiv w:val="1"/>
      <w:marLeft w:val="0"/>
      <w:marRight w:val="0"/>
      <w:marTop w:val="0"/>
      <w:marBottom w:val="0"/>
      <w:divBdr>
        <w:top w:val="none" w:sz="0" w:space="0" w:color="auto"/>
        <w:left w:val="none" w:sz="0" w:space="0" w:color="auto"/>
        <w:bottom w:val="none" w:sz="0" w:space="0" w:color="auto"/>
        <w:right w:val="none" w:sz="0" w:space="0" w:color="auto"/>
      </w:divBdr>
    </w:div>
    <w:div w:id="1829662577">
      <w:bodyDiv w:val="1"/>
      <w:marLeft w:val="0"/>
      <w:marRight w:val="0"/>
      <w:marTop w:val="0"/>
      <w:marBottom w:val="0"/>
      <w:divBdr>
        <w:top w:val="none" w:sz="0" w:space="0" w:color="auto"/>
        <w:left w:val="none" w:sz="0" w:space="0" w:color="auto"/>
        <w:bottom w:val="none" w:sz="0" w:space="0" w:color="auto"/>
        <w:right w:val="none" w:sz="0" w:space="0" w:color="auto"/>
      </w:divBdr>
    </w:div>
    <w:div w:id="1849364786">
      <w:bodyDiv w:val="1"/>
      <w:marLeft w:val="0"/>
      <w:marRight w:val="0"/>
      <w:marTop w:val="0"/>
      <w:marBottom w:val="0"/>
      <w:divBdr>
        <w:top w:val="none" w:sz="0" w:space="0" w:color="auto"/>
        <w:left w:val="none" w:sz="0" w:space="0" w:color="auto"/>
        <w:bottom w:val="none" w:sz="0" w:space="0" w:color="auto"/>
        <w:right w:val="none" w:sz="0" w:space="0" w:color="auto"/>
      </w:divBdr>
    </w:div>
    <w:div w:id="1867478896">
      <w:bodyDiv w:val="1"/>
      <w:marLeft w:val="0"/>
      <w:marRight w:val="0"/>
      <w:marTop w:val="0"/>
      <w:marBottom w:val="0"/>
      <w:divBdr>
        <w:top w:val="none" w:sz="0" w:space="0" w:color="auto"/>
        <w:left w:val="none" w:sz="0" w:space="0" w:color="auto"/>
        <w:bottom w:val="none" w:sz="0" w:space="0" w:color="auto"/>
        <w:right w:val="none" w:sz="0" w:space="0" w:color="auto"/>
      </w:divBdr>
    </w:div>
    <w:div w:id="1885479152">
      <w:bodyDiv w:val="1"/>
      <w:marLeft w:val="0"/>
      <w:marRight w:val="0"/>
      <w:marTop w:val="0"/>
      <w:marBottom w:val="0"/>
      <w:divBdr>
        <w:top w:val="none" w:sz="0" w:space="0" w:color="auto"/>
        <w:left w:val="none" w:sz="0" w:space="0" w:color="auto"/>
        <w:bottom w:val="none" w:sz="0" w:space="0" w:color="auto"/>
        <w:right w:val="none" w:sz="0" w:space="0" w:color="auto"/>
      </w:divBdr>
    </w:div>
    <w:div w:id="1915117399">
      <w:bodyDiv w:val="1"/>
      <w:marLeft w:val="0"/>
      <w:marRight w:val="0"/>
      <w:marTop w:val="0"/>
      <w:marBottom w:val="0"/>
      <w:divBdr>
        <w:top w:val="none" w:sz="0" w:space="0" w:color="auto"/>
        <w:left w:val="none" w:sz="0" w:space="0" w:color="auto"/>
        <w:bottom w:val="none" w:sz="0" w:space="0" w:color="auto"/>
        <w:right w:val="none" w:sz="0" w:space="0" w:color="auto"/>
      </w:divBdr>
    </w:div>
    <w:div w:id="1930460225">
      <w:bodyDiv w:val="1"/>
      <w:marLeft w:val="0"/>
      <w:marRight w:val="0"/>
      <w:marTop w:val="0"/>
      <w:marBottom w:val="0"/>
      <w:divBdr>
        <w:top w:val="none" w:sz="0" w:space="0" w:color="auto"/>
        <w:left w:val="none" w:sz="0" w:space="0" w:color="auto"/>
        <w:bottom w:val="none" w:sz="0" w:space="0" w:color="auto"/>
        <w:right w:val="none" w:sz="0" w:space="0" w:color="auto"/>
      </w:divBdr>
    </w:div>
    <w:div w:id="1981961007">
      <w:bodyDiv w:val="1"/>
      <w:marLeft w:val="0"/>
      <w:marRight w:val="0"/>
      <w:marTop w:val="0"/>
      <w:marBottom w:val="0"/>
      <w:divBdr>
        <w:top w:val="none" w:sz="0" w:space="0" w:color="auto"/>
        <w:left w:val="none" w:sz="0" w:space="0" w:color="auto"/>
        <w:bottom w:val="none" w:sz="0" w:space="0" w:color="auto"/>
        <w:right w:val="none" w:sz="0" w:space="0" w:color="auto"/>
      </w:divBdr>
    </w:div>
    <w:div w:id="2060981481">
      <w:bodyDiv w:val="1"/>
      <w:marLeft w:val="0"/>
      <w:marRight w:val="0"/>
      <w:marTop w:val="0"/>
      <w:marBottom w:val="0"/>
      <w:divBdr>
        <w:top w:val="none" w:sz="0" w:space="0" w:color="auto"/>
        <w:left w:val="none" w:sz="0" w:space="0" w:color="auto"/>
        <w:bottom w:val="none" w:sz="0" w:space="0" w:color="auto"/>
        <w:right w:val="none" w:sz="0" w:space="0" w:color="auto"/>
      </w:divBdr>
    </w:div>
    <w:div w:id="211439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hudson.dl.stevens-tech.edu/maritimeforecast/info/?utm_source=chatgpt.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tidesandcurrents.noaa.gov/ofs/nyofs/nyofs.html?utm_source=chatgpt.com" TargetMode="External"/><Relationship Id="rId2" Type="http://schemas.openxmlformats.org/officeDocument/2006/relationships/customXml" Target="../customXml/item2.xml"/><Relationship Id="rId16" Type="http://schemas.openxmlformats.org/officeDocument/2006/relationships/hyperlink" Target="https://www.khoa.go.k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9D5A3-0EFE-4BC7-8DFC-5ACA0F832CC6}">
  <ds:schemaRefs>
    <ds:schemaRef ds:uri="http://schemas.openxmlformats.org/officeDocument/2006/bibliography"/>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B3889CD1-737E-4825-8D51-208F8254E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3212</Words>
  <Characters>18276</Characters>
  <Application>Microsoft Office Word</Application>
  <DocSecurity>0</DocSecurity>
  <Lines>152</Lines>
  <Paragraphs>42</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13</cp:revision>
  <dcterms:created xsi:type="dcterms:W3CDTF">2025-09-19T01:10:00Z</dcterms:created>
  <dcterms:modified xsi:type="dcterms:W3CDTF">2025-09-30T15:57:00Z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GrammarlyDocumentId">
    <vt:lpwstr>0c6f0f3f-fcc6-42f1-89ef-74e346fcaefc</vt:lpwstr>
  </property>
</Properties>
</file>